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25E16">
      <w:pPr>
        <w:pStyle w:val="6"/>
        <w:numPr>
          <w:ilvl w:val="0"/>
          <w:numId w:val="0"/>
        </w:numPr>
        <w:jc w:val="both"/>
        <w:rPr>
          <w:rFonts w:hint="default" w:eastAsia="宋体"/>
          <w:color w:val="auto"/>
          <w:sz w:val="28"/>
          <w:szCs w:val="28"/>
          <w:highlight w:val="none"/>
          <w:u w:val="none"/>
          <w:lang w:val="en-US" w:eastAsia="zh-CN"/>
        </w:rPr>
      </w:pPr>
      <w:bookmarkStart w:id="0" w:name="_Toc10627"/>
      <w:r>
        <w:rPr>
          <w:rFonts w:hint="eastAsia"/>
          <w:color w:val="auto"/>
          <w:sz w:val="28"/>
          <w:szCs w:val="28"/>
          <w:highlight w:val="none"/>
          <w:u w:val="none"/>
          <w:lang w:val="en-US" w:eastAsia="zh-CN"/>
        </w:rPr>
        <w:t xml:space="preserve">附件1：更正内容 </w:t>
      </w:r>
    </w:p>
    <w:p w14:paraId="4EACB05A">
      <w:pPr>
        <w:pStyle w:val="6"/>
        <w:numPr>
          <w:ilvl w:val="0"/>
          <w:numId w:val="1"/>
        </w:numPr>
        <w:jc w:val="center"/>
        <w:rPr>
          <w:rFonts w:hint="eastAsia"/>
          <w:color w:val="auto"/>
          <w:highlight w:val="none"/>
          <w:u w:val="none"/>
        </w:rPr>
      </w:pPr>
      <w:r>
        <w:rPr>
          <w:rFonts w:hint="eastAsia"/>
          <w:color w:val="auto"/>
          <w:highlight w:val="none"/>
          <w:u w:val="none"/>
        </w:rPr>
        <w:t>服务采购需求</w:t>
      </w:r>
      <w:bookmarkEnd w:id="0"/>
    </w:p>
    <w:p w14:paraId="4E4E914D">
      <w:pPr>
        <w:spacing w:line="360" w:lineRule="auto"/>
        <w:ind w:firstLine="424" w:firstLineChars="202"/>
        <w:jc w:val="left"/>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说明：</w:t>
      </w:r>
    </w:p>
    <w:p w14:paraId="1B739580">
      <w:pPr>
        <w:spacing w:line="360" w:lineRule="auto"/>
        <w:ind w:firstLine="424" w:firstLineChars="202"/>
        <w:jc w:val="left"/>
        <w:rPr>
          <w:rFonts w:hint="eastAsia" w:ascii="宋体" w:hAnsi="宋体" w:cs="宋体"/>
          <w:color w:val="auto"/>
          <w:szCs w:val="21"/>
          <w:highlight w:val="none"/>
          <w:u w:val="none"/>
        </w:rPr>
      </w:pP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rPr>
        <w:t>. “实质性要求”是指采购需求中带“▲”的条款或者不能负偏离的条款或者已经指明不满足按响应文件按无效处理的条款。</w:t>
      </w:r>
    </w:p>
    <w:p w14:paraId="6FC40311">
      <w:pPr>
        <w:spacing w:line="360" w:lineRule="auto"/>
        <w:ind w:firstLine="424" w:firstLineChars="202"/>
        <w:jc w:val="left"/>
        <w:rPr>
          <w:rFonts w:hint="eastAsia"/>
          <w:color w:val="auto"/>
          <w:highlight w:val="none"/>
          <w:u w:val="none"/>
        </w:rPr>
      </w:pP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.供应商应根据自身实际情况如实响应磋商文件</w:t>
      </w:r>
      <w:r>
        <w:rPr>
          <w:rFonts w:hint="eastAsia" w:ascii="宋体" w:hAnsi="宋体"/>
          <w:color w:val="auto"/>
          <w:szCs w:val="21"/>
          <w:highlight w:val="none"/>
          <w:u w:val="none"/>
        </w:rPr>
        <w:t>，不得仅将</w:t>
      </w:r>
      <w:r>
        <w:rPr>
          <w:rFonts w:hint="eastAsia" w:ascii="宋体" w:hAnsi="宋体" w:cs="宋体"/>
          <w:color w:val="auto"/>
          <w:szCs w:val="21"/>
          <w:highlight w:val="none"/>
          <w:u w:val="none"/>
        </w:rPr>
        <w:t>磋商文件</w:t>
      </w:r>
      <w:r>
        <w:rPr>
          <w:rFonts w:hint="eastAsia" w:ascii="宋体" w:hAnsi="宋体"/>
          <w:color w:val="auto"/>
          <w:szCs w:val="21"/>
          <w:highlight w:val="none"/>
          <w:u w:val="none"/>
        </w:rPr>
        <w:t>内容简单复制粘贴作为竞标响应，还应当提供相关证明材料，否则将按无效响应处理（定制采购不适用本条款）。</w:t>
      </w:r>
      <w:r>
        <w:rPr>
          <w:rFonts w:hint="eastAsia"/>
          <w:color w:val="auto"/>
          <w:highlight w:val="none"/>
          <w:u w:val="none"/>
        </w:rPr>
        <w:t>对于重要技术条款或技术参数应当在响应文件中提供技术支持资料，技术支持资料以磋商文件中规定的形式为准，否则将视为无效技术支持资料。</w:t>
      </w:r>
    </w:p>
    <w:p w14:paraId="6608DADB">
      <w:pPr>
        <w:numPr>
          <w:ilvl w:val="0"/>
          <w:numId w:val="0"/>
        </w:numPr>
        <w:ind w:firstLine="210" w:firstLineChars="100"/>
        <w:rPr>
          <w:rFonts w:hint="eastAsia"/>
          <w:color w:val="auto"/>
          <w:highlight w:val="none"/>
          <w:u w:val="none"/>
        </w:rPr>
      </w:pP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rPr>
        <w:t>.</w:t>
      </w:r>
      <w:r>
        <w:rPr>
          <w:rFonts w:hint="eastAsia"/>
          <w:color w:val="auto"/>
          <w:highlight w:val="none"/>
          <w:u w:val="none"/>
        </w:rPr>
        <w:t>供应商必须自行为其竞标产品侵犯他人的知识产权或者专利成果的行为承担相应法律责任。</w:t>
      </w:r>
    </w:p>
    <w:p w14:paraId="49E14125">
      <w:pPr>
        <w:pStyle w:val="2"/>
        <w:rPr>
          <w:rFonts w:hint="default"/>
          <w:color w:val="auto"/>
          <w:highlight w:val="none"/>
          <w:u w:val="none"/>
          <w:lang w:val="en-US" w:eastAsia="zh-CN"/>
        </w:rPr>
      </w:pPr>
    </w:p>
    <w:p w14:paraId="5EC3D1FD">
      <w:pPr>
        <w:spacing w:line="360" w:lineRule="auto"/>
        <w:ind w:firstLine="426" w:firstLineChars="202"/>
        <w:jc w:val="left"/>
        <w:rPr>
          <w:rFonts w:hint="default" w:ascii="Times New Roman" w:hAnsi="Times New Roman" w:eastAsia="宋体" w:cs="Times New Roman"/>
          <w:b/>
          <w:bCs/>
          <w:color w:val="auto"/>
          <w:kern w:val="2"/>
          <w:sz w:val="21"/>
          <w:szCs w:val="24"/>
          <w:highlight w:val="none"/>
          <w:u w:val="none"/>
          <w:lang w:val="en-US" w:eastAsia="zh-CN" w:bidi="ar-SA"/>
        </w:rPr>
      </w:pPr>
      <w:r>
        <w:rPr>
          <w:rFonts w:hint="eastAsia" w:ascii="Times New Roman" w:hAnsi="Times New Roman" w:eastAsia="宋体" w:cs="Times New Roman"/>
          <w:b/>
          <w:bCs/>
          <w:color w:val="auto"/>
          <w:kern w:val="2"/>
          <w:sz w:val="21"/>
          <w:szCs w:val="24"/>
          <w:highlight w:val="none"/>
          <w:u w:val="none"/>
          <w:lang w:val="en-US" w:eastAsia="zh-CN" w:bidi="ar-SA"/>
        </w:rPr>
        <w:t>一、采购项目需求一览表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1356"/>
        <w:gridCol w:w="720"/>
        <w:gridCol w:w="720"/>
        <w:gridCol w:w="5782"/>
      </w:tblGrid>
      <w:tr w14:paraId="45C5B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92" w:type="dxa"/>
            <w:noWrap w:val="0"/>
            <w:vAlign w:val="center"/>
          </w:tcPr>
          <w:p w14:paraId="349AD5C0">
            <w:pPr>
              <w:tabs>
                <w:tab w:val="left" w:pos="180"/>
                <w:tab w:val="left" w:pos="1620"/>
              </w:tabs>
              <w:spacing w:line="360" w:lineRule="auto"/>
              <w:jc w:val="center"/>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序号</w:t>
            </w:r>
          </w:p>
        </w:tc>
        <w:tc>
          <w:tcPr>
            <w:tcW w:w="1356" w:type="dxa"/>
            <w:noWrap w:val="0"/>
            <w:vAlign w:val="center"/>
          </w:tcPr>
          <w:p w14:paraId="6C808678">
            <w:pPr>
              <w:tabs>
                <w:tab w:val="left" w:pos="180"/>
                <w:tab w:val="left" w:pos="1620"/>
              </w:tabs>
              <w:spacing w:line="360" w:lineRule="auto"/>
              <w:jc w:val="center"/>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标的的名称</w:t>
            </w:r>
          </w:p>
        </w:tc>
        <w:tc>
          <w:tcPr>
            <w:tcW w:w="720" w:type="dxa"/>
            <w:noWrap w:val="0"/>
            <w:vAlign w:val="center"/>
          </w:tcPr>
          <w:p w14:paraId="0F6D91CD">
            <w:pPr>
              <w:tabs>
                <w:tab w:val="left" w:pos="180"/>
                <w:tab w:val="left" w:pos="1620"/>
              </w:tabs>
              <w:spacing w:line="360" w:lineRule="auto"/>
              <w:jc w:val="center"/>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数量</w:t>
            </w:r>
          </w:p>
        </w:tc>
        <w:tc>
          <w:tcPr>
            <w:tcW w:w="720" w:type="dxa"/>
            <w:noWrap w:val="0"/>
            <w:vAlign w:val="center"/>
          </w:tcPr>
          <w:p w14:paraId="56034859">
            <w:pPr>
              <w:tabs>
                <w:tab w:val="left" w:pos="180"/>
                <w:tab w:val="left" w:pos="1620"/>
              </w:tabs>
              <w:spacing w:line="360" w:lineRule="auto"/>
              <w:jc w:val="center"/>
              <w:rPr>
                <w:rFonts w:hint="eastAsia" w:ascii="宋体" w:hAnsi="宋体" w:cs="宋体"/>
                <w:b/>
                <w:bCs/>
                <w:color w:val="auto"/>
                <w:szCs w:val="21"/>
                <w:highlight w:val="none"/>
                <w:u w:val="none"/>
              </w:rPr>
            </w:pPr>
            <w:r>
              <w:rPr>
                <w:rFonts w:hint="eastAsia" w:ascii="宋体" w:hAnsi="宋体" w:cs="宋体"/>
                <w:b/>
                <w:bCs/>
                <w:color w:val="auto"/>
                <w:szCs w:val="21"/>
                <w:highlight w:val="none"/>
                <w:u w:val="none"/>
              </w:rPr>
              <w:t>单位</w:t>
            </w:r>
          </w:p>
        </w:tc>
        <w:tc>
          <w:tcPr>
            <w:tcW w:w="5782" w:type="dxa"/>
            <w:noWrap w:val="0"/>
            <w:vAlign w:val="center"/>
          </w:tcPr>
          <w:p w14:paraId="269050BB">
            <w:pPr>
              <w:tabs>
                <w:tab w:val="left" w:pos="180"/>
                <w:tab w:val="left" w:pos="1620"/>
              </w:tabs>
              <w:spacing w:line="360" w:lineRule="auto"/>
              <w:jc w:val="center"/>
              <w:rPr>
                <w:rFonts w:hint="eastAsia" w:ascii="宋体" w:hAnsi="宋体" w:cs="宋体"/>
                <w:b/>
                <w:bCs/>
                <w:color w:val="auto"/>
                <w:szCs w:val="21"/>
                <w:highlight w:val="none"/>
                <w:u w:val="none"/>
              </w:rPr>
            </w:pPr>
            <w:r>
              <w:rPr>
                <w:rFonts w:hint="eastAsia" w:ascii="宋体" w:hAnsi="宋体"/>
                <w:b/>
                <w:bCs/>
                <w:color w:val="auto"/>
                <w:szCs w:val="21"/>
                <w:highlight w:val="none"/>
                <w:u w:val="none"/>
              </w:rPr>
              <w:t>服务需求、技术需求</w:t>
            </w:r>
          </w:p>
        </w:tc>
      </w:tr>
      <w:tr w14:paraId="5EE7C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792" w:type="dxa"/>
            <w:noWrap w:val="0"/>
            <w:vAlign w:val="center"/>
          </w:tcPr>
          <w:p w14:paraId="212723F9">
            <w:pPr>
              <w:snapToGrid w:val="0"/>
              <w:spacing w:line="360" w:lineRule="auto"/>
              <w:jc w:val="center"/>
              <w:rPr>
                <w:rFonts w:hint="eastAsia" w:ascii="宋体" w:hAnsi="宋体" w:eastAsia="宋体" w:cs="宋体"/>
                <w:color w:val="auto"/>
                <w:szCs w:val="21"/>
                <w:highlight w:val="none"/>
                <w:u w:val="none"/>
                <w:lang w:val="en-US" w:eastAsia="zh-CN"/>
              </w:rPr>
            </w:pPr>
            <w:r>
              <w:rPr>
                <w:rFonts w:hint="eastAsia" w:ascii="宋体" w:hAnsi="宋体"/>
                <w:color w:val="auto"/>
                <w:szCs w:val="21"/>
                <w:highlight w:val="none"/>
                <w:u w:val="none"/>
                <w:lang w:val="en-US" w:eastAsia="zh-CN"/>
              </w:rPr>
              <w:t>1</w:t>
            </w:r>
          </w:p>
        </w:tc>
        <w:tc>
          <w:tcPr>
            <w:tcW w:w="1356" w:type="dxa"/>
            <w:noWrap w:val="0"/>
            <w:vAlign w:val="center"/>
          </w:tcPr>
          <w:p w14:paraId="11FDF537">
            <w:pPr>
              <w:snapToGrid w:val="0"/>
              <w:spacing w:line="360" w:lineRule="auto"/>
              <w:jc w:val="center"/>
              <w:rPr>
                <w:rFonts w:hint="eastAsia" w:ascii="宋体" w:hAnsi="宋体" w:cs="宋体"/>
                <w:color w:val="auto"/>
                <w:szCs w:val="21"/>
                <w:highlight w:val="none"/>
                <w:u w:val="none"/>
              </w:rPr>
            </w:pPr>
            <w:r>
              <w:rPr>
                <w:rFonts w:hint="eastAsia" w:ascii="宋体" w:hAnsi="宋体" w:cs="宋体"/>
                <w:color w:val="auto"/>
                <w:szCs w:val="21"/>
                <w:highlight w:val="none"/>
                <w:u w:val="none"/>
                <w:lang w:eastAsia="zh-CN"/>
              </w:rPr>
              <w:t>住房公积金个人住房贷款贷后管理服务</w:t>
            </w:r>
          </w:p>
        </w:tc>
        <w:tc>
          <w:tcPr>
            <w:tcW w:w="720" w:type="dxa"/>
            <w:noWrap w:val="0"/>
            <w:vAlign w:val="center"/>
          </w:tcPr>
          <w:p w14:paraId="3B230291">
            <w:pPr>
              <w:tabs>
                <w:tab w:val="left" w:pos="180"/>
                <w:tab w:val="left" w:pos="1620"/>
              </w:tabs>
              <w:spacing w:line="360" w:lineRule="auto"/>
              <w:jc w:val="center"/>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w:t>
            </w:r>
          </w:p>
        </w:tc>
        <w:tc>
          <w:tcPr>
            <w:tcW w:w="720" w:type="dxa"/>
            <w:noWrap w:val="0"/>
            <w:vAlign w:val="center"/>
          </w:tcPr>
          <w:p w14:paraId="3BDFA0D2">
            <w:pPr>
              <w:pStyle w:val="4"/>
              <w:spacing w:line="360" w:lineRule="auto"/>
              <w:jc w:val="center"/>
              <w:rPr>
                <w:rFonts w:hint="default"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项</w:t>
            </w:r>
          </w:p>
        </w:tc>
        <w:tc>
          <w:tcPr>
            <w:tcW w:w="5782" w:type="dxa"/>
            <w:noWrap w:val="0"/>
            <w:vAlign w:val="center"/>
          </w:tcPr>
          <w:p w14:paraId="34E7E491">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2" w:firstLineChars="200"/>
              <w:jc w:val="both"/>
              <w:textAlignment w:val="auto"/>
              <w:outlineLvl w:val="9"/>
              <w:rPr>
                <w:rFonts w:hint="eastAsia" w:ascii="宋体" w:hAnsi="宋体" w:cs="Arial"/>
                <w:b/>
                <w:bCs/>
                <w:color w:val="auto"/>
                <w:szCs w:val="21"/>
                <w:highlight w:val="none"/>
                <w:u w:val="none"/>
                <w:lang w:val="en-US" w:eastAsia="zh-CN"/>
              </w:rPr>
            </w:pPr>
            <w:r>
              <w:rPr>
                <w:rFonts w:hint="eastAsia" w:ascii="宋体" w:hAnsi="宋体" w:cs="Arial"/>
                <w:b/>
                <w:bCs/>
                <w:color w:val="auto"/>
                <w:szCs w:val="21"/>
                <w:highlight w:val="none"/>
                <w:u w:val="none"/>
                <w:lang w:val="en-US" w:eastAsia="zh-CN"/>
              </w:rPr>
              <w:t>一、服务需求</w:t>
            </w:r>
          </w:p>
          <w:p w14:paraId="123972E4">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2" w:firstLineChars="200"/>
              <w:jc w:val="left"/>
              <w:textAlignment w:val="auto"/>
              <w:outlineLvl w:val="9"/>
              <w:rPr>
                <w:rFonts w:hint="eastAsia" w:ascii="宋体" w:hAnsi="宋体" w:cs="Arial"/>
                <w:b/>
                <w:bCs/>
                <w:color w:val="auto"/>
                <w:szCs w:val="21"/>
                <w:highlight w:val="none"/>
                <w:u w:val="none"/>
                <w:lang w:val="en-US" w:eastAsia="zh-CN"/>
              </w:rPr>
            </w:pPr>
            <w:r>
              <w:rPr>
                <w:rFonts w:hint="eastAsia" w:ascii="宋体" w:hAnsi="宋体" w:cs="Arial"/>
                <w:b/>
                <w:bCs/>
                <w:color w:val="auto"/>
                <w:szCs w:val="21"/>
                <w:highlight w:val="none"/>
                <w:u w:val="none"/>
                <w:lang w:val="en-US" w:eastAsia="zh-CN"/>
              </w:rPr>
              <w:t>（一）服务内容</w:t>
            </w:r>
          </w:p>
          <w:p w14:paraId="7186DFB7">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left"/>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对中心所有已发放的住房公积金个人住房贷款（以下简称住房公积金贷款）提供贷后管理服务，包括但不限于以下内容：</w:t>
            </w:r>
          </w:p>
          <w:p w14:paraId="713F9A83">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left"/>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1.住房公积金贷款范围包括中心所有已发放的住房公积金贷款、组合贷款中的住房公积金贷款部分等各类住房公积金贷款（以下均统称为住房公积金贷款）。</w:t>
            </w:r>
          </w:p>
          <w:p w14:paraId="4C1AA858">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left"/>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2.根据中心出具的住房公积金贷款逾期清单（具体名称以实际为准，下同），对逾期1期及以上的借款人等进行逾期提醒和合法催收（不含由第三方担保机构提供阶段性担保期内的住房公积金贷款），方式包括但不限于电话、短信、发函、上门催收等方式，向借款人等有关人员进行逾期提醒和合法催收还款。</w:t>
            </w:r>
          </w:p>
          <w:p w14:paraId="5AFB6382">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jc w:val="left"/>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3.对中心发放的住房公积金贷款出现逾期6期及以上或借款人发生根本性违约情形时，在符合法律法规规章、监管机构要求及双方内部管理制度的基础上，对中心拟处置的逾期贷款抵押房产提供处置咨询解答以及抵押房产处置过程中开展营销获客服务工作。</w:t>
            </w:r>
          </w:p>
          <w:p w14:paraId="4276A93C">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2" w:firstLineChars="200"/>
              <w:jc w:val="left"/>
              <w:textAlignment w:val="auto"/>
              <w:outlineLvl w:val="9"/>
              <w:rPr>
                <w:rFonts w:hint="eastAsia" w:ascii="宋体" w:hAnsi="宋体" w:cs="Arial"/>
                <w:b/>
                <w:bCs/>
                <w:color w:val="auto"/>
                <w:szCs w:val="21"/>
                <w:highlight w:val="none"/>
                <w:u w:val="none"/>
                <w:lang w:val="en-US" w:eastAsia="zh-CN"/>
              </w:rPr>
            </w:pPr>
            <w:r>
              <w:rPr>
                <w:rFonts w:hint="eastAsia" w:ascii="宋体" w:hAnsi="宋体" w:cs="Arial"/>
                <w:b/>
                <w:bCs/>
                <w:color w:val="auto"/>
                <w:szCs w:val="21"/>
                <w:highlight w:val="none"/>
                <w:u w:val="none"/>
                <w:lang w:val="en-US" w:eastAsia="zh-CN"/>
              </w:rPr>
              <w:t>（二）服务要求</w:t>
            </w:r>
          </w:p>
          <w:p w14:paraId="6F0E9AC4">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left"/>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1.在南宁市设有常驻办公地点(提供证明材料复印件)。</w:t>
            </w:r>
          </w:p>
          <w:p w14:paraId="518A5B7D">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left"/>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2.对中心</w:t>
            </w:r>
            <w:r>
              <w:rPr>
                <w:rFonts w:hint="eastAsia" w:ascii="宋体" w:hAnsi="宋体" w:cs="Arial"/>
                <w:color w:val="auto"/>
                <w:szCs w:val="21"/>
                <w:highlight w:val="none"/>
                <w:u w:val="none"/>
                <w:lang w:val="en-US" w:eastAsia="zh-CN"/>
              </w:rPr>
              <w:t>已</w:t>
            </w:r>
            <w:r>
              <w:rPr>
                <w:rFonts w:hint="eastAsia" w:ascii="宋体" w:hAnsi="宋体" w:cs="Arial"/>
                <w:color w:val="auto"/>
                <w:szCs w:val="21"/>
                <w:highlight w:val="none"/>
                <w:u w:val="none"/>
                <w:lang w:val="en-US" w:eastAsia="zh-CN"/>
              </w:rPr>
              <w:t>发放的逾期1期及以上的住房公积金贷款提供贷后管理服务（由第三方担保机构承担阶段性担保责任期内的住房公积金贷款除外）。根据中心提供的逾期贷款数据，按照中心逾期贷款催收管理工作要求与中心联合开展催收工作，对住房公积金贷款出现逾期的借款人，采取电话、上门、发函等方式进行催收，督促逾期的借款人偿还贷款。</w:t>
            </w:r>
          </w:p>
          <w:p w14:paraId="779AC451">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both"/>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3.对中心发放的住房公积金贷款出现逾期6期及以上或借款人发生根本性违约情形时，在符合法律法规规章、监管机构要求及双方内部管理制度的基础上，根据中心出具的通知书（具体名称以实际为准），对中心拟处置的逾期贷款抵押房产提供</w:t>
            </w:r>
            <w:bookmarkStart w:id="1" w:name="OLE_LINK1"/>
            <w:r>
              <w:rPr>
                <w:rFonts w:hint="eastAsia" w:ascii="宋体" w:hAnsi="宋体" w:cs="Arial"/>
                <w:color w:val="auto"/>
                <w:szCs w:val="21"/>
                <w:highlight w:val="none"/>
                <w:u w:val="none"/>
                <w:lang w:val="en-US" w:eastAsia="zh-CN"/>
              </w:rPr>
              <w:t>处置咨询解答以及抵押房产处置过程中开展营销获客服务工作</w:t>
            </w:r>
            <w:bookmarkEnd w:id="1"/>
            <w:r>
              <w:rPr>
                <w:rFonts w:hint="eastAsia" w:ascii="宋体" w:hAnsi="宋体" w:cs="Arial"/>
                <w:color w:val="auto"/>
                <w:szCs w:val="21"/>
                <w:highlight w:val="none"/>
                <w:u w:val="none"/>
                <w:lang w:val="en-US" w:eastAsia="zh-CN"/>
              </w:rPr>
              <w:t>。</w:t>
            </w:r>
          </w:p>
          <w:p w14:paraId="4428E7EF">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both"/>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4.协助中心完成贷后管理的目标，确保中心逾期率不超过国家或上级业务主管部门要求的全国住房公积金贷款逾期率平均水平（以全国住房公积金年报数据公布为准，下同）。</w:t>
            </w:r>
          </w:p>
          <w:p w14:paraId="3B0F6F3C">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both"/>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5.向中心缴纳履约金，用于确保贷后管理服务的质量和处置效率，降低中心的住房公积金贷款逾期率。</w:t>
            </w:r>
          </w:p>
          <w:p w14:paraId="7AD071BC">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2" w:firstLineChars="200"/>
              <w:jc w:val="left"/>
              <w:textAlignment w:val="auto"/>
              <w:outlineLvl w:val="9"/>
              <w:rPr>
                <w:rFonts w:hint="eastAsia" w:ascii="宋体" w:hAnsi="宋体" w:cs="Arial"/>
                <w:b/>
                <w:bCs/>
                <w:color w:val="auto"/>
                <w:szCs w:val="21"/>
                <w:highlight w:val="none"/>
                <w:u w:val="none"/>
                <w:lang w:val="en-US" w:eastAsia="zh-CN"/>
              </w:rPr>
            </w:pPr>
            <w:r>
              <w:rPr>
                <w:rFonts w:hint="eastAsia" w:ascii="宋体" w:hAnsi="宋体" w:cs="Arial"/>
                <w:b/>
                <w:bCs/>
                <w:color w:val="auto"/>
                <w:szCs w:val="21"/>
                <w:highlight w:val="none"/>
                <w:u w:val="none"/>
                <w:lang w:val="en-US" w:eastAsia="zh-CN"/>
              </w:rPr>
              <w:t>二、服务成果要求</w:t>
            </w:r>
          </w:p>
          <w:p w14:paraId="3F3770CE">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2" w:firstLineChars="200"/>
              <w:jc w:val="left"/>
              <w:textAlignment w:val="auto"/>
              <w:outlineLvl w:val="9"/>
              <w:rPr>
                <w:rFonts w:hint="eastAsia" w:ascii="宋体" w:hAnsi="宋体" w:cs="Arial"/>
                <w:b/>
                <w:bCs/>
                <w:color w:val="auto"/>
                <w:szCs w:val="21"/>
                <w:highlight w:val="none"/>
                <w:u w:val="none"/>
                <w:lang w:val="en-US" w:eastAsia="zh-CN"/>
              </w:rPr>
            </w:pPr>
            <w:r>
              <w:rPr>
                <w:rFonts w:hint="eastAsia" w:ascii="宋体" w:hAnsi="宋体" w:cs="Arial"/>
                <w:b/>
                <w:bCs/>
                <w:color w:val="auto"/>
                <w:szCs w:val="21"/>
                <w:highlight w:val="none"/>
                <w:u w:val="none"/>
                <w:lang w:val="en-US" w:eastAsia="zh-CN"/>
              </w:rPr>
              <w:t>（一）服务响应时间</w:t>
            </w:r>
          </w:p>
          <w:p w14:paraId="116FB785">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both"/>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1.在收到中心发来住房公积金贷款逾期数据的当日起，在3个工作日内启动逾期催收工作。</w:t>
            </w:r>
          </w:p>
          <w:p w14:paraId="0E95F373">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both"/>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2.对中心发来的住房公积金逾期贷款抵押房产处置通知，15个工作日内作出响应并提供咨询及营销获客开展营销工作。</w:t>
            </w:r>
          </w:p>
          <w:p w14:paraId="734E2E6E">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2" w:firstLineChars="200"/>
              <w:jc w:val="left"/>
              <w:textAlignment w:val="auto"/>
              <w:outlineLvl w:val="9"/>
              <w:rPr>
                <w:rFonts w:hint="eastAsia" w:ascii="宋体" w:hAnsi="宋体" w:cs="Arial"/>
                <w:b/>
                <w:bCs/>
                <w:color w:val="auto"/>
                <w:szCs w:val="21"/>
                <w:highlight w:val="none"/>
                <w:u w:val="none"/>
                <w:lang w:val="en-US" w:eastAsia="zh-CN"/>
              </w:rPr>
            </w:pPr>
            <w:r>
              <w:rPr>
                <w:rFonts w:hint="eastAsia" w:ascii="宋体" w:hAnsi="宋体" w:cs="Arial"/>
                <w:b/>
                <w:bCs/>
                <w:color w:val="auto"/>
                <w:szCs w:val="21"/>
                <w:highlight w:val="none"/>
                <w:u w:val="none"/>
                <w:lang w:val="en-US" w:eastAsia="zh-CN"/>
              </w:rPr>
              <w:t>（二）服务成果及质量要求</w:t>
            </w:r>
          </w:p>
          <w:p w14:paraId="2EEEB287">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both"/>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1.开展逾期催收工作时，催收方式应合法合规，切实保障中心合法权益。</w:t>
            </w:r>
          </w:p>
          <w:p w14:paraId="13E31FBD">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both"/>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2.为中心提供贷后管理服务，确保中心住房公积金贷款逾期率不超过全国住房公积金贷款逾期率平均水平。</w:t>
            </w:r>
          </w:p>
          <w:p w14:paraId="6316E75C">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both"/>
              <w:textAlignment w:val="auto"/>
              <w:outlineLvl w:val="9"/>
              <w:rPr>
                <w:rFonts w:hint="eastAsia"/>
                <w:color w:val="auto"/>
                <w:u w:val="none"/>
                <w:lang w:val="en-US" w:eastAsia="zh-CN"/>
              </w:rPr>
            </w:pPr>
            <w:r>
              <w:rPr>
                <w:rFonts w:hint="eastAsia" w:ascii="宋体" w:hAnsi="宋体" w:cs="Arial"/>
                <w:color w:val="auto"/>
                <w:szCs w:val="21"/>
                <w:highlight w:val="none"/>
                <w:u w:val="none"/>
                <w:lang w:val="en-US" w:eastAsia="zh-CN"/>
              </w:rPr>
              <w:t>3.履约金用于确保贷后管理服务的质量和处置效率，降低中心的住房公积金贷款逾期率。</w:t>
            </w:r>
          </w:p>
          <w:p w14:paraId="7FCE6695">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2" w:firstLineChars="200"/>
              <w:jc w:val="left"/>
              <w:textAlignment w:val="auto"/>
              <w:outlineLvl w:val="9"/>
              <w:rPr>
                <w:rFonts w:hint="eastAsia" w:ascii="宋体" w:hAnsi="宋体" w:cs="Arial"/>
                <w:b/>
                <w:bCs/>
                <w:color w:val="auto"/>
                <w:szCs w:val="21"/>
                <w:highlight w:val="none"/>
                <w:u w:val="none"/>
                <w:lang w:val="en-US" w:eastAsia="zh-CN"/>
              </w:rPr>
            </w:pPr>
            <w:r>
              <w:rPr>
                <w:rFonts w:hint="eastAsia" w:ascii="宋体" w:hAnsi="宋体" w:cs="Arial"/>
                <w:b/>
                <w:bCs/>
                <w:color w:val="auto"/>
                <w:szCs w:val="21"/>
                <w:highlight w:val="none"/>
                <w:u w:val="none"/>
                <w:lang w:val="en-US" w:eastAsia="zh-CN"/>
              </w:rPr>
              <w:t>（三）安全及保密要求</w:t>
            </w:r>
          </w:p>
          <w:p w14:paraId="43778CEB">
            <w:pPr>
              <w:pStyle w:val="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jc w:val="both"/>
              <w:textAlignment w:val="auto"/>
              <w:outlineLvl w:val="9"/>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1.项目实施应严格遵循中心保密要求并建立严格的保密制度，供应商在响应文件中必应详细描述保密措施。供应商所有与本项目相关的工作人员在上岗前必须经过保密培训并签署保密协议。在工作过程中造成的泄密事故，由供应商承担全部责任。</w:t>
            </w:r>
          </w:p>
          <w:p w14:paraId="0F3005AB">
            <w:pPr>
              <w:ind w:firstLine="420" w:firstLineChars="200"/>
              <w:rPr>
                <w:rFonts w:hint="eastAsia" w:ascii="宋体" w:hAnsi="宋体" w:cs="Arial"/>
                <w:color w:val="auto"/>
                <w:szCs w:val="21"/>
                <w:highlight w:val="none"/>
                <w:u w:val="none"/>
                <w:lang w:val="en-US" w:eastAsia="zh-CN"/>
              </w:rPr>
            </w:pPr>
            <w:r>
              <w:rPr>
                <w:rFonts w:hint="eastAsia" w:ascii="宋体" w:hAnsi="宋体" w:cs="Arial"/>
                <w:color w:val="auto"/>
                <w:szCs w:val="21"/>
                <w:highlight w:val="none"/>
                <w:u w:val="none"/>
                <w:lang w:val="en-US" w:eastAsia="zh-CN"/>
              </w:rPr>
              <w:t>2.住房公积金贷款信息和档案实体安全管理。供应商项目实施应严格遵循安全管理要求，保障住房公积金贷款资产信息和档案实体安全，供应商在响应文件中必须详细描述安全管理措施。</w:t>
            </w:r>
          </w:p>
        </w:tc>
      </w:tr>
      <w:tr w14:paraId="78BB3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70" w:type="dxa"/>
            <w:gridSpan w:val="5"/>
            <w:noWrap w:val="0"/>
            <w:vAlign w:val="center"/>
          </w:tcPr>
          <w:p w14:paraId="5B5A2A6E">
            <w:pPr>
              <w:keepNext w:val="0"/>
              <w:keepLines w:val="0"/>
              <w:pageBreakBefore w:val="0"/>
              <w:tabs>
                <w:tab w:val="left" w:pos="180"/>
                <w:tab w:val="left" w:pos="1620"/>
              </w:tabs>
              <w:kinsoku/>
              <w:wordWrap/>
              <w:overflowPunct/>
              <w:topLinePunct w:val="0"/>
              <w:autoSpaceDE/>
              <w:autoSpaceDN/>
              <w:bidi w:val="0"/>
              <w:adjustRightInd/>
              <w:snapToGrid/>
              <w:spacing w:line="360" w:lineRule="auto"/>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w:t>
            </w:r>
            <w:r>
              <w:rPr>
                <w:rFonts w:hint="eastAsia" w:ascii="宋体" w:hAnsi="宋体" w:cs="宋体"/>
                <w:b/>
                <w:bCs/>
                <w:color w:val="auto"/>
                <w:szCs w:val="21"/>
                <w:highlight w:val="none"/>
                <w:u w:val="none"/>
                <w:lang w:val="en-US" w:eastAsia="zh-CN"/>
              </w:rPr>
              <w:t>二、商务条款</w:t>
            </w:r>
          </w:p>
        </w:tc>
      </w:tr>
      <w:tr w14:paraId="6A0D9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8" w:type="dxa"/>
            <w:gridSpan w:val="2"/>
            <w:noWrap w:val="0"/>
            <w:vAlign w:val="center"/>
          </w:tcPr>
          <w:p w14:paraId="5BC79D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2"/>
                <w:sz w:val="21"/>
                <w:szCs w:val="21"/>
                <w:highlight w:val="none"/>
                <w:u w:val="none"/>
                <w:lang w:val="en-US" w:eastAsia="zh-CN" w:bidi="ar-SA"/>
              </w:rPr>
            </w:pPr>
            <w:r>
              <w:rPr>
                <w:rFonts w:hint="eastAsia" w:ascii="宋体" w:hAnsi="宋体" w:cs="宋体"/>
                <w:b/>
                <w:bCs w:val="0"/>
                <w:color w:val="auto"/>
                <w:sz w:val="21"/>
                <w:szCs w:val="21"/>
                <w:highlight w:val="none"/>
                <w:u w:val="none"/>
                <w:lang w:bidi="ar"/>
              </w:rPr>
              <w:t>合同签订</w:t>
            </w:r>
            <w:r>
              <w:rPr>
                <w:rFonts w:hint="eastAsia" w:ascii="宋体" w:hAnsi="宋体" w:cs="宋体"/>
                <w:b/>
                <w:bCs w:val="0"/>
                <w:color w:val="auto"/>
                <w:sz w:val="21"/>
                <w:szCs w:val="21"/>
                <w:highlight w:val="none"/>
                <w:u w:val="none"/>
                <w:lang w:val="en-US" w:eastAsia="zh-CN" w:bidi="ar"/>
              </w:rPr>
              <w:t>时间</w:t>
            </w:r>
          </w:p>
        </w:tc>
        <w:tc>
          <w:tcPr>
            <w:tcW w:w="7222" w:type="dxa"/>
            <w:gridSpan w:val="3"/>
            <w:noWrap w:val="0"/>
            <w:vAlign w:val="center"/>
          </w:tcPr>
          <w:p w14:paraId="450FBC9E">
            <w:pPr>
              <w:keepNext w:val="0"/>
              <w:keepLines w:val="0"/>
              <w:pageBreakBefore w:val="0"/>
              <w:widowControl/>
              <w:kinsoku/>
              <w:wordWrap/>
              <w:overflowPunct/>
              <w:topLinePunct w:val="0"/>
              <w:autoSpaceDE/>
              <w:autoSpaceDN/>
              <w:bidi w:val="0"/>
              <w:adjustRightInd/>
              <w:snapToGrid/>
              <w:spacing w:line="360" w:lineRule="auto"/>
              <w:ind w:right="1050" w:rightChars="500"/>
              <w:jc w:val="both"/>
              <w:textAlignment w:val="center"/>
              <w:rPr>
                <w:rFonts w:hint="eastAsia" w:ascii="宋体" w:hAnsi="宋体" w:cs="宋体"/>
                <w:b/>
                <w:bCs/>
                <w:color w:val="auto"/>
                <w:kern w:val="2"/>
                <w:sz w:val="21"/>
                <w:szCs w:val="21"/>
                <w:highlight w:val="none"/>
                <w:u w:val="none"/>
                <w:lang w:val="en-US" w:eastAsia="zh-CN" w:bidi="ar-SA"/>
              </w:rPr>
            </w:pPr>
            <w:r>
              <w:rPr>
                <w:rFonts w:hint="eastAsia" w:ascii="宋体" w:hAnsi="宋体" w:cs="宋体"/>
                <w:bCs/>
                <w:color w:val="auto"/>
                <w:sz w:val="21"/>
                <w:szCs w:val="21"/>
                <w:highlight w:val="none"/>
                <w:u w:val="none"/>
                <w:lang w:bidi="ar"/>
              </w:rPr>
              <w:t>自成交通知书发出之日起10个工作日内。</w:t>
            </w:r>
          </w:p>
        </w:tc>
      </w:tr>
      <w:tr w14:paraId="3E67B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8" w:type="dxa"/>
            <w:gridSpan w:val="2"/>
            <w:noWrap w:val="0"/>
            <w:vAlign w:val="center"/>
          </w:tcPr>
          <w:p w14:paraId="4AF65D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bCs/>
                <w:color w:val="auto"/>
                <w:sz w:val="21"/>
                <w:szCs w:val="21"/>
                <w:highlight w:val="none"/>
                <w:u w:val="none"/>
                <w:lang w:val="en-US" w:eastAsia="zh-CN" w:bidi="ar"/>
              </w:rPr>
            </w:pPr>
            <w:r>
              <w:rPr>
                <w:rFonts w:hint="eastAsia" w:ascii="宋体" w:hAnsi="宋体" w:cs="宋体"/>
                <w:b/>
                <w:bCs w:val="0"/>
                <w:color w:val="auto"/>
                <w:sz w:val="21"/>
                <w:szCs w:val="21"/>
                <w:highlight w:val="none"/>
                <w:u w:val="none"/>
                <w:lang w:val="en-US" w:eastAsia="zh-CN" w:bidi="ar"/>
              </w:rPr>
              <w:t>服务时间服务地点</w:t>
            </w:r>
          </w:p>
        </w:tc>
        <w:tc>
          <w:tcPr>
            <w:tcW w:w="7222" w:type="dxa"/>
            <w:gridSpan w:val="3"/>
            <w:noWrap w:val="0"/>
            <w:vAlign w:val="center"/>
          </w:tcPr>
          <w:p w14:paraId="39EFBC54">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宋体" w:hAnsi="宋体"/>
                <w:color w:val="auto"/>
                <w:szCs w:val="21"/>
                <w:highlight w:val="none"/>
                <w:u w:val="none"/>
              </w:rPr>
            </w:pPr>
            <w:r>
              <w:rPr>
                <w:rFonts w:hint="eastAsia" w:ascii="宋体" w:hAnsi="宋体" w:cs="宋体"/>
                <w:bCs/>
                <w:color w:val="auto"/>
                <w:sz w:val="21"/>
                <w:szCs w:val="21"/>
                <w:highlight w:val="none"/>
                <w:u w:val="none"/>
                <w:lang w:val="en-US" w:eastAsia="zh-CN" w:bidi="ar"/>
              </w:rPr>
              <w:t>服务时间：</w:t>
            </w:r>
            <w:r>
              <w:rPr>
                <w:rFonts w:hint="eastAsia" w:ascii="宋体" w:hAnsi="宋体"/>
                <w:color w:val="auto"/>
                <w:szCs w:val="21"/>
                <w:highlight w:val="none"/>
                <w:u w:val="none"/>
                <w:lang w:val="en-US" w:eastAsia="zh-CN"/>
              </w:rPr>
              <w:t>业务试行3</w:t>
            </w:r>
            <w:r>
              <w:rPr>
                <w:rFonts w:hint="eastAsia" w:ascii="宋体" w:hAnsi="宋体"/>
                <w:color w:val="auto"/>
                <w:szCs w:val="21"/>
                <w:highlight w:val="none"/>
                <w:u w:val="none"/>
              </w:rPr>
              <w:t>年，根</w:t>
            </w:r>
            <w:r>
              <w:rPr>
                <w:rFonts w:hint="eastAsia" w:ascii="宋体" w:hAnsi="宋体"/>
                <w:color w:val="auto"/>
                <w:szCs w:val="21"/>
                <w:highlight w:val="none"/>
                <w:u w:val="none"/>
                <w:lang w:val="en-US" w:eastAsia="zh-CN"/>
              </w:rPr>
              <w:t>据上级主管部门要求、政策规定、供应商的服务等情况再决定是</w:t>
            </w:r>
            <w:r>
              <w:rPr>
                <w:rFonts w:hint="eastAsia" w:ascii="宋体" w:hAnsi="宋体"/>
                <w:color w:val="auto"/>
                <w:szCs w:val="21"/>
                <w:highlight w:val="none"/>
                <w:u w:val="none"/>
              </w:rPr>
              <w:t>否续签。</w:t>
            </w:r>
          </w:p>
          <w:p w14:paraId="6F0A60F0">
            <w:pPr>
              <w:pStyle w:val="2"/>
              <w:rPr>
                <w:rFonts w:hint="default" w:eastAsia="宋体"/>
                <w:color w:val="auto"/>
                <w:highlight w:val="none"/>
                <w:u w:val="none"/>
                <w:lang w:val="en-US" w:eastAsia="zh-CN"/>
              </w:rPr>
            </w:pPr>
            <w:r>
              <w:rPr>
                <w:rFonts w:hint="eastAsia" w:ascii="宋体" w:hAnsi="宋体" w:eastAsia="宋体" w:cs="Times New Roman"/>
                <w:color w:val="auto"/>
                <w:kern w:val="2"/>
                <w:sz w:val="21"/>
                <w:szCs w:val="21"/>
                <w:highlight w:val="none"/>
                <w:u w:val="none"/>
                <w:lang w:val="en-US" w:eastAsia="zh-CN" w:bidi="ar-SA"/>
              </w:rPr>
              <w:t>服务地点：采购人指定地点</w:t>
            </w:r>
          </w:p>
        </w:tc>
      </w:tr>
      <w:tr w14:paraId="5E465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8" w:type="dxa"/>
            <w:gridSpan w:val="2"/>
            <w:noWrap w:val="0"/>
            <w:vAlign w:val="center"/>
          </w:tcPr>
          <w:p w14:paraId="7000D3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bCs/>
                <w:color w:val="auto"/>
                <w:sz w:val="21"/>
                <w:szCs w:val="21"/>
                <w:highlight w:val="none"/>
                <w:u w:val="none"/>
                <w:lang w:val="en-US" w:eastAsia="zh-CN" w:bidi="ar"/>
              </w:rPr>
            </w:pPr>
            <w:r>
              <w:rPr>
                <w:rFonts w:hint="eastAsia" w:ascii="宋体" w:hAnsi="宋体" w:cs="宋体"/>
                <w:b/>
                <w:bCs w:val="0"/>
                <w:color w:val="auto"/>
                <w:sz w:val="21"/>
                <w:szCs w:val="21"/>
                <w:highlight w:val="none"/>
                <w:u w:val="none"/>
                <w:lang w:val="en-US" w:eastAsia="zh-CN" w:bidi="ar"/>
              </w:rPr>
              <w:t>售后服务要求</w:t>
            </w:r>
          </w:p>
        </w:tc>
        <w:tc>
          <w:tcPr>
            <w:tcW w:w="7222" w:type="dxa"/>
            <w:gridSpan w:val="3"/>
            <w:noWrap w:val="0"/>
            <w:vAlign w:val="center"/>
          </w:tcPr>
          <w:p w14:paraId="2C04A1BA">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center"/>
              <w:rPr>
                <w:rFonts w:hint="eastAsia" w:ascii="Times New Roman" w:hAnsi="Times New Roman" w:eastAsia="宋体" w:cs="Times New Roman"/>
                <w:color w:val="auto"/>
                <w:highlight w:val="none"/>
                <w:u w:val="none"/>
                <w:lang w:val="en-US" w:eastAsia="zh-CN"/>
              </w:rPr>
            </w:pPr>
            <w:r>
              <w:rPr>
                <w:rFonts w:hint="eastAsia" w:ascii="Times New Roman" w:hAnsi="Times New Roman" w:eastAsia="宋体" w:cs="Times New Roman"/>
                <w:color w:val="auto"/>
                <w:highlight w:val="none"/>
                <w:u w:val="none"/>
                <w:lang w:val="en-US" w:eastAsia="zh-CN"/>
              </w:rPr>
              <w:t>供应商提供5个工作日×8小时技术支持服务，7天×24小时不间断业务处理服务。</w:t>
            </w:r>
          </w:p>
        </w:tc>
      </w:tr>
      <w:tr w14:paraId="55ED9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8" w:type="dxa"/>
            <w:gridSpan w:val="2"/>
            <w:noWrap w:val="0"/>
            <w:vAlign w:val="center"/>
          </w:tcPr>
          <w:p w14:paraId="7BB1D4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Cs/>
                <w:color w:val="auto"/>
                <w:sz w:val="21"/>
                <w:szCs w:val="21"/>
                <w:highlight w:val="none"/>
                <w:u w:val="none"/>
                <w:lang w:bidi="ar"/>
              </w:rPr>
            </w:pPr>
            <w:r>
              <w:rPr>
                <w:rFonts w:hint="eastAsia" w:ascii="宋体" w:hAnsi="宋体" w:cs="宋体"/>
                <w:b/>
                <w:bCs w:val="0"/>
                <w:color w:val="auto"/>
                <w:sz w:val="21"/>
                <w:szCs w:val="21"/>
                <w:highlight w:val="none"/>
                <w:u w:val="none"/>
                <w:lang w:bidi="ar"/>
              </w:rPr>
              <w:t>付款方式</w:t>
            </w:r>
          </w:p>
        </w:tc>
        <w:tc>
          <w:tcPr>
            <w:tcW w:w="7222" w:type="dxa"/>
            <w:gridSpan w:val="3"/>
            <w:noWrap w:val="0"/>
            <w:vAlign w:val="center"/>
          </w:tcPr>
          <w:p w14:paraId="641F192B">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center"/>
              <w:rPr>
                <w:rFonts w:hint="eastAsia" w:ascii="宋体" w:hAnsi="宋体" w:cs="宋体"/>
                <w:bCs/>
                <w:color w:val="auto"/>
                <w:sz w:val="21"/>
                <w:szCs w:val="21"/>
                <w:highlight w:val="none"/>
                <w:u w:val="none"/>
                <w:lang w:bidi="ar"/>
              </w:rPr>
            </w:pPr>
            <w:r>
              <w:rPr>
                <w:rFonts w:hint="eastAsia" w:ascii="宋体" w:hAnsi="宋体" w:cs="宋体"/>
                <w:bCs/>
                <w:color w:val="auto"/>
                <w:sz w:val="21"/>
                <w:szCs w:val="21"/>
                <w:highlight w:val="none"/>
                <w:u w:val="none"/>
                <w:lang w:val="en-US" w:eastAsia="zh-CN" w:bidi="ar"/>
              </w:rPr>
              <w:t>实际费用支付按照工作进度支付</w:t>
            </w:r>
            <w:r>
              <w:rPr>
                <w:rFonts w:hint="eastAsia" w:ascii="宋体" w:hAnsi="宋体" w:cs="宋体"/>
                <w:bCs/>
                <w:color w:val="auto"/>
                <w:sz w:val="21"/>
                <w:szCs w:val="21"/>
                <w:highlight w:val="none"/>
                <w:u w:val="none"/>
                <w:lang w:eastAsia="zh-CN" w:bidi="ar"/>
              </w:rPr>
              <w:t>。</w:t>
            </w:r>
          </w:p>
        </w:tc>
      </w:tr>
      <w:tr w14:paraId="04634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8" w:type="dxa"/>
            <w:gridSpan w:val="2"/>
            <w:noWrap w:val="0"/>
            <w:vAlign w:val="center"/>
          </w:tcPr>
          <w:p w14:paraId="6E3C6A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val="0"/>
                <w:color w:val="auto"/>
                <w:sz w:val="21"/>
                <w:szCs w:val="21"/>
                <w:highlight w:val="none"/>
                <w:u w:val="none"/>
                <w:lang w:val="en-US" w:eastAsia="zh-CN" w:bidi="ar"/>
              </w:rPr>
            </w:pPr>
            <w:r>
              <w:rPr>
                <w:rFonts w:hint="eastAsia" w:ascii="宋体" w:hAnsi="宋体" w:cs="宋体"/>
                <w:b/>
                <w:bCs w:val="0"/>
                <w:color w:val="auto"/>
                <w:sz w:val="21"/>
                <w:szCs w:val="21"/>
                <w:highlight w:val="none"/>
                <w:u w:val="none"/>
                <w:lang w:val="en-US" w:eastAsia="zh-CN" w:bidi="ar"/>
              </w:rPr>
              <w:t>报价说明</w:t>
            </w:r>
          </w:p>
        </w:tc>
        <w:tc>
          <w:tcPr>
            <w:tcW w:w="7222" w:type="dxa"/>
            <w:gridSpan w:val="3"/>
            <w:noWrap w:val="0"/>
            <w:vAlign w:val="center"/>
          </w:tcPr>
          <w:p w14:paraId="5E2032D0">
            <w:pPr>
              <w:pStyle w:val="2"/>
              <w:numPr>
                <w:ilvl w:val="0"/>
                <w:numId w:val="0"/>
              </w:numPr>
              <w:spacing w:line="360" w:lineRule="auto"/>
              <w:rPr>
                <w:rFonts w:hint="default"/>
                <w:color w:val="auto"/>
                <w:highlight w:val="none"/>
                <w:u w:val="none"/>
                <w:lang w:val="en-US" w:eastAsia="zh-CN"/>
              </w:rPr>
            </w:pPr>
            <w:r>
              <w:rPr>
                <w:rFonts w:hint="default"/>
                <w:color w:val="auto"/>
                <w:highlight w:val="none"/>
                <w:u w:val="none"/>
                <w:lang w:val="en-US" w:eastAsia="zh-CN"/>
              </w:rPr>
              <w:t>1.贷后管理服务费率最高限价为0.2%，根据中心住房公积金贷款时点日逾期率分档次设定费率比例（在签订合同时由双方协商决定费率的比例），费率比例不得超出成交费率。</w:t>
            </w:r>
          </w:p>
          <w:p w14:paraId="7EBECC55">
            <w:pPr>
              <w:pStyle w:val="2"/>
              <w:numPr>
                <w:ilvl w:val="0"/>
                <w:numId w:val="0"/>
              </w:numPr>
              <w:spacing w:line="360" w:lineRule="auto"/>
              <w:rPr>
                <w:rFonts w:hint="default"/>
                <w:color w:val="auto"/>
                <w:highlight w:val="none"/>
                <w:u w:val="none"/>
                <w:lang w:val="en-US" w:eastAsia="zh-CN"/>
              </w:rPr>
            </w:pPr>
            <w:r>
              <w:rPr>
                <w:rFonts w:hint="default"/>
                <w:color w:val="auto"/>
                <w:highlight w:val="none"/>
                <w:u w:val="none"/>
                <w:lang w:val="en-US" w:eastAsia="zh-CN"/>
              </w:rPr>
              <w:t>2.计算公式：月度贷后管理服务费=中心当月住房公积金贷款利息收入*费率。</w:t>
            </w:r>
          </w:p>
          <w:p w14:paraId="0EC266D6">
            <w:pPr>
              <w:pStyle w:val="2"/>
              <w:numPr>
                <w:ilvl w:val="0"/>
                <w:numId w:val="0"/>
              </w:numPr>
              <w:spacing w:line="360" w:lineRule="auto"/>
              <w:rPr>
                <w:rFonts w:hint="default"/>
                <w:color w:val="auto"/>
                <w:u w:val="none"/>
                <w:lang w:val="en-US" w:eastAsia="zh-CN"/>
              </w:rPr>
            </w:pPr>
            <w:r>
              <w:rPr>
                <w:rFonts w:hint="default"/>
                <w:color w:val="auto"/>
                <w:highlight w:val="none"/>
                <w:u w:val="none"/>
                <w:lang w:val="en-US" w:eastAsia="zh-CN"/>
              </w:rPr>
              <w:t>3.磋商报价为二次报价，第二次报价为最后报价。</w:t>
            </w:r>
          </w:p>
        </w:tc>
      </w:tr>
      <w:tr w14:paraId="7A7A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8" w:type="dxa"/>
            <w:gridSpan w:val="2"/>
            <w:noWrap w:val="0"/>
            <w:vAlign w:val="center"/>
          </w:tcPr>
          <w:p w14:paraId="44911056">
            <w:pPr>
              <w:spacing w:line="400" w:lineRule="exact"/>
              <w:jc w:val="center"/>
              <w:rPr>
                <w:rFonts w:hint="eastAsia" w:ascii="宋体" w:hAnsi="宋体" w:cs="Arial"/>
                <w:color w:val="auto"/>
                <w:kern w:val="2"/>
                <w:sz w:val="21"/>
                <w:szCs w:val="21"/>
                <w:highlight w:val="none"/>
                <w:u w:val="none"/>
                <w:lang w:val="en-US" w:eastAsia="zh-CN" w:bidi="ar-SA"/>
              </w:rPr>
            </w:pPr>
            <w:r>
              <w:rPr>
                <w:rFonts w:hint="eastAsia" w:ascii="宋体" w:hAnsi="宋体" w:cs="Arial"/>
                <w:b/>
                <w:bCs/>
                <w:color w:val="auto"/>
                <w:szCs w:val="21"/>
                <w:highlight w:val="none"/>
                <w:u w:val="none"/>
              </w:rPr>
              <w:t>规范标准</w:t>
            </w:r>
          </w:p>
        </w:tc>
        <w:tc>
          <w:tcPr>
            <w:tcW w:w="7222" w:type="dxa"/>
            <w:gridSpan w:val="3"/>
            <w:noWrap w:val="0"/>
            <w:vAlign w:val="center"/>
          </w:tcPr>
          <w:p w14:paraId="1194A9A2">
            <w:pPr>
              <w:spacing w:line="400" w:lineRule="exact"/>
              <w:rPr>
                <w:rFonts w:hint="eastAsia" w:ascii="宋体" w:hAnsi="宋体"/>
                <w:color w:val="auto"/>
                <w:kern w:val="2"/>
                <w:sz w:val="21"/>
                <w:szCs w:val="21"/>
                <w:highlight w:val="none"/>
                <w:u w:val="none"/>
                <w:lang w:val="en-US" w:eastAsia="zh-CN" w:bidi="ar-SA"/>
              </w:rPr>
            </w:pPr>
            <w:r>
              <w:rPr>
                <w:rFonts w:hint="eastAsia" w:ascii="宋体" w:hAnsi="宋体" w:cs="Arial"/>
                <w:color w:val="auto"/>
                <w:szCs w:val="21"/>
                <w:highlight w:val="none"/>
                <w:u w:val="none"/>
              </w:rPr>
              <w:t>采购标的需执行的国家标准、行业标准、地方标准或者其他标准、规范。</w:t>
            </w:r>
          </w:p>
        </w:tc>
      </w:tr>
    </w:tbl>
    <w:p w14:paraId="0AA7FDD7">
      <w:pPr>
        <w:pStyle w:val="2"/>
        <w:spacing w:line="360" w:lineRule="auto"/>
        <w:ind w:firstLine="420" w:firstLineChars="200"/>
        <w:rPr>
          <w:color w:val="auto"/>
          <w:highlight w:val="none"/>
          <w:u w:val="none"/>
          <w:lang w:val="en-US" w:eastAsia="zh-CN"/>
        </w:rPr>
      </w:pPr>
    </w:p>
    <w:p w14:paraId="0F08BF99">
      <w:pPr>
        <w:rPr>
          <w:rFonts w:hint="eastAsia" w:ascii="宋体" w:hAnsi="宋体" w:cs="宋体"/>
          <w:b/>
          <w:color w:val="auto"/>
          <w:sz w:val="36"/>
          <w:szCs w:val="36"/>
          <w:highlight w:val="none"/>
          <w:u w:val="none"/>
        </w:rPr>
      </w:pPr>
      <w:r>
        <w:rPr>
          <w:rFonts w:hint="eastAsia" w:ascii="宋体" w:hAnsi="宋体" w:cs="宋体"/>
          <w:b/>
          <w:color w:val="auto"/>
          <w:sz w:val="36"/>
          <w:szCs w:val="36"/>
          <w:highlight w:val="none"/>
          <w:u w:val="none"/>
        </w:rPr>
        <w:br w:type="page"/>
      </w:r>
    </w:p>
    <w:p w14:paraId="750B8739">
      <w:pPr>
        <w:spacing w:line="520" w:lineRule="exact"/>
        <w:jc w:val="center"/>
        <w:rPr>
          <w:rFonts w:hint="eastAsia" w:ascii="方正小标宋简体" w:hAnsi="方正小标宋简体" w:eastAsia="方正小标宋简体" w:cs="方正小标宋简体"/>
          <w:bCs/>
          <w:color w:val="auto"/>
          <w:sz w:val="32"/>
          <w:szCs w:val="32"/>
          <w:highlight w:val="none"/>
          <w:u w:val="none"/>
        </w:rPr>
      </w:pPr>
      <w:r>
        <w:rPr>
          <w:rFonts w:hint="eastAsia" w:ascii="宋体" w:hAnsi="宋体" w:cs="宋体"/>
          <w:b/>
          <w:color w:val="auto"/>
          <w:sz w:val="36"/>
          <w:szCs w:val="36"/>
          <w:highlight w:val="none"/>
          <w:u w:val="none"/>
        </w:rPr>
        <w:t>磋  商  报  价  表</w:t>
      </w:r>
    </w:p>
    <w:p w14:paraId="5BB93BA6">
      <w:pPr>
        <w:spacing w:line="440" w:lineRule="exact"/>
        <w:jc w:val="center"/>
        <w:rPr>
          <w:rFonts w:hint="eastAsia" w:ascii="方正小标宋简体" w:hAnsi="方正小标宋简体" w:eastAsia="方正小标宋简体" w:cs="方正小标宋简体"/>
          <w:bCs/>
          <w:color w:val="auto"/>
          <w:sz w:val="32"/>
          <w:szCs w:val="32"/>
          <w:highlight w:val="none"/>
          <w:u w:val="none"/>
        </w:rPr>
      </w:pPr>
    </w:p>
    <w:p w14:paraId="6CA94DA6">
      <w:pPr>
        <w:snapToGrid w:val="0"/>
        <w:spacing w:before="50" w:after="50" w:line="360" w:lineRule="auto"/>
        <w:rPr>
          <w:rFonts w:hint="eastAsia" w:ascii="宋体" w:hAnsi="宋体" w:cs="仿宋_GB2312"/>
          <w:color w:val="auto"/>
          <w:sz w:val="24"/>
          <w:highlight w:val="none"/>
          <w:u w:val="none"/>
        </w:rPr>
      </w:pPr>
      <w:r>
        <w:rPr>
          <w:rFonts w:hint="eastAsia" w:ascii="宋体" w:hAnsi="宋体" w:cs="仿宋_GB2312"/>
          <w:color w:val="auto"/>
          <w:sz w:val="24"/>
          <w:highlight w:val="none"/>
          <w:u w:val="none"/>
        </w:rPr>
        <w:t>项目名称：</w:t>
      </w:r>
      <w:r>
        <w:rPr>
          <w:rFonts w:hint="eastAsia" w:ascii="宋体" w:hAnsi="宋体" w:cs="仿宋_GB2312"/>
          <w:color w:val="auto"/>
          <w:sz w:val="24"/>
          <w:highlight w:val="none"/>
          <w:u w:val="none"/>
        </w:rPr>
        <w:t xml:space="preserve">                </w:t>
      </w:r>
      <w:r>
        <w:rPr>
          <w:rFonts w:hint="eastAsia" w:ascii="宋体" w:hAnsi="宋体" w:cs="仿宋_GB2312"/>
          <w:color w:val="auto"/>
          <w:sz w:val="24"/>
          <w:highlight w:val="none"/>
          <w:u w:val="none"/>
        </w:rPr>
        <w:t>项目编号：</w:t>
      </w:r>
      <w:r>
        <w:rPr>
          <w:rFonts w:hint="eastAsia" w:ascii="宋体" w:hAnsi="宋体" w:cs="仿宋_GB2312"/>
          <w:color w:val="auto"/>
          <w:sz w:val="24"/>
          <w:highlight w:val="none"/>
          <w:u w:val="none"/>
        </w:rPr>
        <w:t xml:space="preserve">                   </w:t>
      </w:r>
      <w:r>
        <w:rPr>
          <w:rFonts w:hint="eastAsia" w:ascii="宋体" w:hAnsi="宋体" w:cs="仿宋_GB2312"/>
          <w:color w:val="auto"/>
          <w:sz w:val="24"/>
          <w:highlight w:val="none"/>
          <w:u w:val="none"/>
        </w:rPr>
        <w:t xml:space="preserve">     </w:t>
      </w:r>
    </w:p>
    <w:p w14:paraId="5D0F8F7B">
      <w:pPr>
        <w:snapToGrid w:val="0"/>
        <w:spacing w:before="50" w:after="50" w:line="360" w:lineRule="auto"/>
        <w:rPr>
          <w:rFonts w:hint="eastAsia" w:ascii="宋体" w:hAnsi="宋体" w:cs="仿宋_GB2312"/>
          <w:color w:val="auto"/>
          <w:sz w:val="24"/>
          <w:highlight w:val="none"/>
          <w:u w:val="none"/>
        </w:rPr>
      </w:pPr>
      <w:r>
        <w:rPr>
          <w:rFonts w:hint="eastAsia" w:ascii="宋体" w:hAnsi="宋体" w:cs="仿宋_GB2312"/>
          <w:color w:val="auto"/>
          <w:sz w:val="24"/>
          <w:highlight w:val="none"/>
          <w:u w:val="none"/>
        </w:rPr>
        <w:t>分标（如有）：</w:t>
      </w:r>
      <w:r>
        <w:rPr>
          <w:rFonts w:hint="eastAsia" w:ascii="宋体" w:hAnsi="宋体" w:cs="仿宋_GB2312"/>
          <w:color w:val="auto"/>
          <w:sz w:val="24"/>
          <w:highlight w:val="none"/>
          <w:u w:val="none"/>
        </w:rPr>
        <w:t xml:space="preserve">                                         </w:t>
      </w:r>
    </w:p>
    <w:p w14:paraId="306583EA">
      <w:pPr>
        <w:snapToGrid w:val="0"/>
        <w:spacing w:before="50" w:after="50" w:line="360" w:lineRule="auto"/>
        <w:rPr>
          <w:rFonts w:ascii="宋体" w:hAnsi="宋体" w:cs="仿宋_GB2312"/>
          <w:color w:val="auto"/>
          <w:sz w:val="24"/>
          <w:highlight w:val="none"/>
          <w:u w:val="none"/>
        </w:rPr>
      </w:pPr>
      <w:r>
        <w:rPr>
          <w:rFonts w:hint="eastAsia" w:ascii="宋体" w:hAnsi="宋体" w:cs="仿宋_GB2312"/>
          <w:color w:val="auto"/>
          <w:sz w:val="24"/>
          <w:highlight w:val="none"/>
          <w:u w:val="none"/>
        </w:rPr>
        <w:t>供应商名称：</w:t>
      </w:r>
      <w:r>
        <w:rPr>
          <w:rFonts w:hint="eastAsia" w:ascii="宋体" w:hAnsi="宋体" w:cs="仿宋_GB2312"/>
          <w:color w:val="auto"/>
          <w:sz w:val="24"/>
          <w:highlight w:val="none"/>
          <w:u w:val="none"/>
        </w:rPr>
        <w:t xml:space="preserve">                                           </w:t>
      </w:r>
      <w:r>
        <w:rPr>
          <w:rFonts w:hint="eastAsia" w:ascii="宋体" w:hAnsi="宋体" w:cs="仿宋_GB2312"/>
          <w:color w:val="auto"/>
          <w:sz w:val="24"/>
          <w:highlight w:val="none"/>
          <w:u w:val="none"/>
        </w:rPr>
        <w:t xml:space="preserve">   </w:t>
      </w:r>
    </w:p>
    <w:p w14:paraId="35689D10">
      <w:pPr>
        <w:snapToGrid w:val="0"/>
        <w:spacing w:before="50" w:after="50" w:line="360" w:lineRule="auto"/>
        <w:rPr>
          <w:rFonts w:hint="eastAsia" w:ascii="宋体" w:hAnsi="宋体" w:eastAsia="宋体" w:cs="仿宋_GB2312"/>
          <w:color w:val="auto"/>
          <w:sz w:val="24"/>
          <w:highlight w:val="none"/>
          <w:u w:val="none"/>
          <w:lang w:eastAsia="zh-CN"/>
        </w:rPr>
      </w:pPr>
      <w:r>
        <w:rPr>
          <w:rFonts w:hint="eastAsia" w:ascii="宋体" w:hAnsi="宋体" w:cs="仿宋_GB2312"/>
          <w:color w:val="auto"/>
          <w:sz w:val="24"/>
          <w:highlight w:val="none"/>
          <w:u w:val="none"/>
        </w:rPr>
        <w:t xml:space="preserve">                                                单位：</w:t>
      </w:r>
      <w:r>
        <w:rPr>
          <w:rFonts w:hint="eastAsia" w:ascii="宋体" w:hAnsi="宋体" w:cs="仿宋_GB2312"/>
          <w:color w:val="auto"/>
          <w:sz w:val="24"/>
          <w:highlight w:val="none"/>
          <w:u w:val="none"/>
          <w:lang w:val="en-US" w:eastAsia="zh-CN"/>
        </w:rPr>
        <w:t>%</w:t>
      </w:r>
    </w:p>
    <w:tbl>
      <w:tblPr>
        <w:tblStyle w:val="9"/>
        <w:tblW w:w="88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0"/>
        <w:gridCol w:w="1842"/>
        <w:gridCol w:w="1713"/>
        <w:gridCol w:w="1275"/>
        <w:gridCol w:w="844"/>
      </w:tblGrid>
      <w:tr w14:paraId="5C8E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right"/>
        </w:trPr>
        <w:tc>
          <w:tcPr>
            <w:tcW w:w="735" w:type="dxa"/>
            <w:vMerge w:val="restart"/>
            <w:tcBorders>
              <w:top w:val="single" w:color="auto" w:sz="4" w:space="0"/>
              <w:left w:val="single" w:color="auto" w:sz="4" w:space="0"/>
              <w:right w:val="single" w:color="auto" w:sz="4" w:space="0"/>
            </w:tcBorders>
            <w:noWrap w:val="0"/>
            <w:vAlign w:val="center"/>
          </w:tcPr>
          <w:p w14:paraId="46BFDF15">
            <w:pPr>
              <w:spacing w:line="360" w:lineRule="auto"/>
              <w:jc w:val="center"/>
              <w:rPr>
                <w:rFonts w:ascii="宋体" w:hAnsi="宋体" w:cs="仿宋_GB2312"/>
                <w:color w:val="auto"/>
                <w:sz w:val="24"/>
                <w:highlight w:val="none"/>
                <w:u w:val="none"/>
              </w:rPr>
            </w:pPr>
            <w:r>
              <w:rPr>
                <w:rFonts w:ascii="宋体" w:hAnsi="宋体" w:cs="仿宋_GB2312"/>
                <w:color w:val="auto"/>
                <w:sz w:val="24"/>
                <w:highlight w:val="none"/>
                <w:u w:val="none"/>
              </w:rPr>
              <w:t>序号</w:t>
            </w:r>
          </w:p>
        </w:tc>
        <w:tc>
          <w:tcPr>
            <w:tcW w:w="2410" w:type="dxa"/>
            <w:vMerge w:val="restart"/>
            <w:tcBorders>
              <w:top w:val="single" w:color="auto" w:sz="4" w:space="0"/>
              <w:left w:val="single" w:color="auto" w:sz="4" w:space="0"/>
              <w:right w:val="single" w:color="auto" w:sz="4" w:space="0"/>
            </w:tcBorders>
            <w:noWrap w:val="0"/>
            <w:vAlign w:val="center"/>
          </w:tcPr>
          <w:p w14:paraId="265B0307">
            <w:pPr>
              <w:spacing w:line="360" w:lineRule="auto"/>
              <w:jc w:val="center"/>
              <w:rPr>
                <w:rFonts w:ascii="宋体" w:hAnsi="宋体" w:cs="仿宋_GB2312"/>
                <w:color w:val="auto"/>
                <w:sz w:val="24"/>
                <w:highlight w:val="none"/>
                <w:u w:val="none"/>
              </w:rPr>
            </w:pPr>
            <w:r>
              <w:rPr>
                <w:rFonts w:ascii="宋体" w:hAnsi="宋体" w:cs="仿宋_GB2312"/>
                <w:color w:val="auto"/>
                <w:sz w:val="24"/>
                <w:highlight w:val="none"/>
                <w:u w:val="none"/>
              </w:rPr>
              <w:t>服务名称</w:t>
            </w:r>
          </w:p>
        </w:tc>
        <w:tc>
          <w:tcPr>
            <w:tcW w:w="1842" w:type="dxa"/>
            <w:vMerge w:val="restart"/>
            <w:tcBorders>
              <w:top w:val="single" w:color="auto" w:sz="4" w:space="0"/>
              <w:left w:val="single" w:color="auto" w:sz="4" w:space="0"/>
              <w:right w:val="single" w:color="auto" w:sz="4" w:space="0"/>
            </w:tcBorders>
            <w:noWrap w:val="0"/>
            <w:vAlign w:val="center"/>
          </w:tcPr>
          <w:p w14:paraId="603ADEA5">
            <w:pPr>
              <w:spacing w:line="360" w:lineRule="auto"/>
              <w:jc w:val="center"/>
              <w:rPr>
                <w:rFonts w:ascii="宋体" w:hAnsi="宋体" w:cs="仿宋_GB2312"/>
                <w:color w:val="auto"/>
                <w:sz w:val="24"/>
                <w:highlight w:val="none"/>
                <w:u w:val="none"/>
              </w:rPr>
            </w:pPr>
            <w:r>
              <w:rPr>
                <w:rFonts w:hint="eastAsia" w:ascii="宋体" w:hAnsi="宋体" w:cs="仿宋_GB2312"/>
                <w:color w:val="auto"/>
                <w:sz w:val="24"/>
                <w:highlight w:val="none"/>
                <w:u w:val="none"/>
              </w:rPr>
              <w:t>服务内容</w:t>
            </w:r>
          </w:p>
        </w:tc>
        <w:tc>
          <w:tcPr>
            <w:tcW w:w="1713" w:type="dxa"/>
            <w:vMerge w:val="restart"/>
            <w:tcBorders>
              <w:top w:val="single" w:color="auto" w:sz="4" w:space="0"/>
              <w:left w:val="single" w:color="auto" w:sz="4" w:space="0"/>
              <w:right w:val="single" w:color="auto" w:sz="4" w:space="0"/>
            </w:tcBorders>
            <w:noWrap w:val="0"/>
            <w:vAlign w:val="center"/>
          </w:tcPr>
          <w:p w14:paraId="1314540B">
            <w:pPr>
              <w:spacing w:line="360" w:lineRule="auto"/>
              <w:jc w:val="center"/>
              <w:rPr>
                <w:rFonts w:hint="eastAsia" w:ascii="宋体" w:hAnsi="宋体" w:eastAsia="宋体" w:cs="仿宋_GB2312"/>
                <w:color w:val="auto"/>
                <w:sz w:val="24"/>
                <w:highlight w:val="none"/>
                <w:u w:val="none"/>
                <w:lang w:eastAsia="zh-CN"/>
              </w:rPr>
            </w:pPr>
            <w:r>
              <w:rPr>
                <w:rFonts w:hint="eastAsia" w:ascii="宋体" w:hAnsi="宋体" w:cs="仿宋_GB2312"/>
                <w:color w:val="auto"/>
                <w:sz w:val="24"/>
                <w:highlight w:val="none"/>
                <w:u w:val="none"/>
                <w:lang w:val="en-US" w:eastAsia="zh-CN"/>
              </w:rPr>
              <w:t>报价费率（%）</w:t>
            </w:r>
          </w:p>
        </w:tc>
        <w:tc>
          <w:tcPr>
            <w:tcW w:w="1275" w:type="dxa"/>
            <w:vMerge w:val="restart"/>
            <w:tcBorders>
              <w:top w:val="single" w:color="auto" w:sz="4" w:space="0"/>
              <w:left w:val="single" w:color="auto" w:sz="4" w:space="0"/>
              <w:right w:val="single" w:color="auto" w:sz="4" w:space="0"/>
            </w:tcBorders>
            <w:noWrap w:val="0"/>
            <w:vAlign w:val="center"/>
          </w:tcPr>
          <w:p w14:paraId="73752AC7">
            <w:pPr>
              <w:spacing w:line="360" w:lineRule="auto"/>
              <w:jc w:val="center"/>
              <w:rPr>
                <w:rFonts w:ascii="宋体" w:hAnsi="宋体" w:cs="仿宋_GB2312"/>
                <w:color w:val="auto"/>
                <w:sz w:val="24"/>
                <w:highlight w:val="none"/>
                <w:u w:val="none"/>
              </w:rPr>
            </w:pPr>
            <w:r>
              <w:rPr>
                <w:rFonts w:hint="eastAsia" w:ascii="宋体" w:hAnsi="宋体" w:cs="仿宋_GB2312"/>
                <w:color w:val="auto"/>
                <w:sz w:val="24"/>
                <w:highlight w:val="none"/>
                <w:u w:val="none"/>
              </w:rPr>
              <w:t>服务期限</w:t>
            </w:r>
          </w:p>
        </w:tc>
        <w:tc>
          <w:tcPr>
            <w:tcW w:w="844" w:type="dxa"/>
            <w:vMerge w:val="restart"/>
            <w:tcBorders>
              <w:top w:val="single" w:color="auto" w:sz="4" w:space="0"/>
              <w:left w:val="single" w:color="auto" w:sz="4" w:space="0"/>
              <w:right w:val="single" w:color="auto" w:sz="4" w:space="0"/>
            </w:tcBorders>
            <w:noWrap w:val="0"/>
            <w:vAlign w:val="center"/>
          </w:tcPr>
          <w:p w14:paraId="26170A0D">
            <w:pPr>
              <w:spacing w:line="360" w:lineRule="auto"/>
              <w:jc w:val="center"/>
              <w:rPr>
                <w:rFonts w:ascii="宋体" w:hAnsi="宋体" w:cs="仿宋_GB2312"/>
                <w:color w:val="auto"/>
                <w:sz w:val="24"/>
                <w:highlight w:val="none"/>
                <w:u w:val="none"/>
              </w:rPr>
            </w:pPr>
            <w:r>
              <w:rPr>
                <w:rFonts w:ascii="宋体" w:hAnsi="宋体" w:cs="仿宋_GB2312"/>
                <w:color w:val="auto"/>
                <w:sz w:val="24"/>
                <w:highlight w:val="none"/>
                <w:u w:val="none"/>
              </w:rPr>
              <w:t>备注</w:t>
            </w:r>
          </w:p>
        </w:tc>
      </w:tr>
      <w:tr w14:paraId="5550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right"/>
        </w:trPr>
        <w:tc>
          <w:tcPr>
            <w:tcW w:w="735" w:type="dxa"/>
            <w:vMerge w:val="continue"/>
            <w:tcBorders>
              <w:left w:val="single" w:color="auto" w:sz="4" w:space="0"/>
              <w:bottom w:val="single" w:color="auto" w:sz="4" w:space="0"/>
              <w:right w:val="single" w:color="auto" w:sz="4" w:space="0"/>
            </w:tcBorders>
            <w:noWrap w:val="0"/>
            <w:vAlign w:val="center"/>
          </w:tcPr>
          <w:p w14:paraId="11658EE7">
            <w:pPr>
              <w:spacing w:line="360" w:lineRule="auto"/>
              <w:jc w:val="center"/>
              <w:rPr>
                <w:color w:val="auto"/>
                <w:highlight w:val="none"/>
                <w:u w:val="none"/>
              </w:rPr>
            </w:pPr>
          </w:p>
        </w:tc>
        <w:tc>
          <w:tcPr>
            <w:tcW w:w="2410" w:type="dxa"/>
            <w:vMerge w:val="continue"/>
            <w:tcBorders>
              <w:left w:val="single" w:color="auto" w:sz="4" w:space="0"/>
              <w:bottom w:val="single" w:color="auto" w:sz="4" w:space="0"/>
              <w:right w:val="single" w:color="auto" w:sz="4" w:space="0"/>
            </w:tcBorders>
            <w:noWrap w:val="0"/>
            <w:vAlign w:val="center"/>
          </w:tcPr>
          <w:p w14:paraId="7EFC7BF6">
            <w:pPr>
              <w:spacing w:line="360" w:lineRule="auto"/>
              <w:jc w:val="center"/>
              <w:rPr>
                <w:color w:val="auto"/>
                <w:highlight w:val="none"/>
                <w:u w:val="none"/>
              </w:rPr>
            </w:pPr>
          </w:p>
        </w:tc>
        <w:tc>
          <w:tcPr>
            <w:tcW w:w="1842" w:type="dxa"/>
            <w:vMerge w:val="continue"/>
            <w:tcBorders>
              <w:left w:val="single" w:color="auto" w:sz="4" w:space="0"/>
              <w:bottom w:val="single" w:color="auto" w:sz="4" w:space="0"/>
              <w:right w:val="single" w:color="auto" w:sz="4" w:space="0"/>
            </w:tcBorders>
            <w:noWrap w:val="0"/>
            <w:vAlign w:val="center"/>
          </w:tcPr>
          <w:p w14:paraId="4354F2BA">
            <w:pPr>
              <w:spacing w:line="360" w:lineRule="auto"/>
              <w:jc w:val="center"/>
              <w:rPr>
                <w:color w:val="auto"/>
                <w:highlight w:val="none"/>
                <w:u w:val="none"/>
              </w:rPr>
            </w:pPr>
          </w:p>
        </w:tc>
        <w:tc>
          <w:tcPr>
            <w:tcW w:w="1713" w:type="dxa"/>
            <w:vMerge w:val="continue"/>
            <w:tcBorders>
              <w:left w:val="single" w:color="auto" w:sz="4" w:space="0"/>
              <w:bottom w:val="single" w:color="auto" w:sz="4" w:space="0"/>
              <w:right w:val="single" w:color="auto" w:sz="4" w:space="0"/>
            </w:tcBorders>
            <w:noWrap w:val="0"/>
            <w:vAlign w:val="center"/>
          </w:tcPr>
          <w:p w14:paraId="298B73F3">
            <w:pPr>
              <w:spacing w:line="360" w:lineRule="auto"/>
              <w:jc w:val="center"/>
              <w:rPr>
                <w:color w:val="auto"/>
                <w:highlight w:val="none"/>
                <w:u w:val="none"/>
              </w:rPr>
            </w:pPr>
          </w:p>
        </w:tc>
        <w:tc>
          <w:tcPr>
            <w:tcW w:w="1275" w:type="dxa"/>
            <w:vMerge w:val="continue"/>
            <w:tcBorders>
              <w:left w:val="single" w:color="auto" w:sz="4" w:space="0"/>
              <w:bottom w:val="single" w:color="auto" w:sz="4" w:space="0"/>
              <w:right w:val="single" w:color="auto" w:sz="4" w:space="0"/>
            </w:tcBorders>
            <w:noWrap w:val="0"/>
            <w:vAlign w:val="center"/>
          </w:tcPr>
          <w:p w14:paraId="5FE5BB06">
            <w:pPr>
              <w:spacing w:line="360" w:lineRule="auto"/>
              <w:jc w:val="center"/>
              <w:rPr>
                <w:rFonts w:hint="eastAsia" w:ascii="宋体" w:hAnsi="宋体" w:cs="仿宋_GB2312"/>
                <w:color w:val="auto"/>
                <w:sz w:val="24"/>
                <w:highlight w:val="none"/>
                <w:u w:val="none"/>
              </w:rPr>
            </w:pPr>
          </w:p>
        </w:tc>
        <w:tc>
          <w:tcPr>
            <w:tcW w:w="844" w:type="dxa"/>
            <w:vMerge w:val="continue"/>
            <w:tcBorders>
              <w:left w:val="single" w:color="auto" w:sz="4" w:space="0"/>
              <w:bottom w:val="single" w:color="auto" w:sz="4" w:space="0"/>
              <w:right w:val="single" w:color="auto" w:sz="4" w:space="0"/>
            </w:tcBorders>
            <w:noWrap w:val="0"/>
            <w:vAlign w:val="center"/>
          </w:tcPr>
          <w:p w14:paraId="4C99BC3A">
            <w:pPr>
              <w:spacing w:line="360" w:lineRule="auto"/>
              <w:jc w:val="center"/>
              <w:rPr>
                <w:rFonts w:hint="eastAsia" w:ascii="宋体" w:hAnsi="宋体" w:cs="仿宋_GB2312"/>
                <w:color w:val="auto"/>
                <w:sz w:val="24"/>
                <w:highlight w:val="none"/>
                <w:u w:val="none"/>
              </w:rPr>
            </w:pPr>
          </w:p>
        </w:tc>
      </w:tr>
      <w:tr w14:paraId="708B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35" w:type="dxa"/>
            <w:tcBorders>
              <w:top w:val="single" w:color="auto" w:sz="4" w:space="0"/>
              <w:left w:val="single" w:color="auto" w:sz="4" w:space="0"/>
              <w:right w:val="single" w:color="auto" w:sz="4" w:space="0"/>
            </w:tcBorders>
            <w:noWrap w:val="0"/>
            <w:vAlign w:val="center"/>
          </w:tcPr>
          <w:p w14:paraId="7FE22DDA">
            <w:pPr>
              <w:spacing w:line="360" w:lineRule="auto"/>
              <w:jc w:val="center"/>
              <w:rPr>
                <w:rFonts w:hint="eastAsia" w:ascii="宋体" w:hAnsi="宋体" w:eastAsia="宋体" w:cs="仿宋_GB2312"/>
                <w:color w:val="auto"/>
                <w:sz w:val="24"/>
                <w:highlight w:val="none"/>
                <w:u w:val="none"/>
                <w:lang w:val="en-US" w:eastAsia="zh-CN"/>
              </w:rPr>
            </w:pPr>
            <w:r>
              <w:rPr>
                <w:rFonts w:ascii="宋体" w:hAnsi="宋体" w:cs="仿宋_GB2312"/>
                <w:color w:val="auto"/>
                <w:sz w:val="24"/>
                <w:highlight w:val="none"/>
                <w:u w:val="none"/>
              </w:rPr>
              <w:t>1</w:t>
            </w:r>
          </w:p>
        </w:tc>
        <w:tc>
          <w:tcPr>
            <w:tcW w:w="2410" w:type="dxa"/>
            <w:tcBorders>
              <w:top w:val="single" w:color="auto" w:sz="4" w:space="0"/>
              <w:left w:val="single" w:color="auto" w:sz="4" w:space="0"/>
              <w:right w:val="single" w:color="auto" w:sz="4" w:space="0"/>
            </w:tcBorders>
            <w:noWrap w:val="0"/>
            <w:vAlign w:val="center"/>
          </w:tcPr>
          <w:p w14:paraId="5A7C1725">
            <w:pPr>
              <w:spacing w:line="360" w:lineRule="auto"/>
              <w:jc w:val="center"/>
              <w:rPr>
                <w:rFonts w:ascii="宋体" w:hAnsi="宋体" w:cs="仿宋_GB2312"/>
                <w:color w:val="auto"/>
                <w:sz w:val="24"/>
                <w:highlight w:val="none"/>
                <w:u w:val="none"/>
              </w:rPr>
            </w:pPr>
            <w:r>
              <w:rPr>
                <w:rFonts w:hint="eastAsia" w:ascii="宋体" w:hAnsi="宋体" w:cs="仿宋_GB2312"/>
                <w:color w:val="auto"/>
                <w:sz w:val="24"/>
                <w:highlight w:val="none"/>
                <w:u w:val="none"/>
              </w:rPr>
              <w:t>住房公积金个人住房贷款贷后管理服务</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6AE42245">
            <w:pPr>
              <w:spacing w:line="360" w:lineRule="auto"/>
              <w:jc w:val="center"/>
              <w:rPr>
                <w:rFonts w:ascii="宋体" w:hAnsi="宋体" w:cs="仿宋_GB2312"/>
                <w:color w:val="auto"/>
                <w:sz w:val="24"/>
                <w:highlight w:val="none"/>
                <w:u w:val="none"/>
              </w:rPr>
            </w:pPr>
          </w:p>
        </w:tc>
        <w:tc>
          <w:tcPr>
            <w:tcW w:w="1713" w:type="dxa"/>
            <w:tcBorders>
              <w:top w:val="single" w:color="auto" w:sz="4" w:space="0"/>
              <w:left w:val="single" w:color="auto" w:sz="4" w:space="0"/>
              <w:bottom w:val="single" w:color="auto" w:sz="4" w:space="0"/>
              <w:right w:val="single" w:color="auto" w:sz="4" w:space="0"/>
            </w:tcBorders>
            <w:noWrap w:val="0"/>
            <w:vAlign w:val="top"/>
          </w:tcPr>
          <w:p w14:paraId="65A942EA">
            <w:pPr>
              <w:spacing w:line="360" w:lineRule="auto"/>
              <w:rPr>
                <w:rFonts w:ascii="宋体" w:hAnsi="宋体" w:cs="仿宋_GB2312"/>
                <w:color w:val="auto"/>
                <w:sz w:val="24"/>
                <w:highlight w:val="none"/>
                <w:u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A8DDEBA">
            <w:pPr>
              <w:spacing w:line="360" w:lineRule="auto"/>
              <w:rPr>
                <w:rFonts w:ascii="宋体" w:hAnsi="宋体" w:cs="仿宋_GB2312"/>
                <w:color w:val="auto"/>
                <w:sz w:val="24"/>
                <w:highlight w:val="none"/>
                <w:u w:val="none"/>
              </w:rPr>
            </w:pPr>
            <w:r>
              <w:rPr>
                <w:rFonts w:hint="eastAsia" w:ascii="宋体" w:hAnsi="宋体" w:cs="仿宋_GB2312"/>
                <w:color w:val="auto"/>
                <w:sz w:val="24"/>
                <w:highlight w:val="none"/>
                <w:u w:val="none"/>
              </w:rPr>
              <w:t xml:space="preserve">                                                                                                                                                                                                                                                                                         </w:t>
            </w:r>
          </w:p>
        </w:tc>
        <w:tc>
          <w:tcPr>
            <w:tcW w:w="844" w:type="dxa"/>
            <w:tcBorders>
              <w:top w:val="single" w:color="auto" w:sz="4" w:space="0"/>
              <w:left w:val="single" w:color="auto" w:sz="4" w:space="0"/>
              <w:bottom w:val="single" w:color="auto" w:sz="4" w:space="0"/>
              <w:right w:val="single" w:color="auto" w:sz="4" w:space="0"/>
            </w:tcBorders>
            <w:noWrap w:val="0"/>
            <w:vAlign w:val="center"/>
          </w:tcPr>
          <w:p w14:paraId="5DE631D0">
            <w:pPr>
              <w:spacing w:line="360" w:lineRule="auto"/>
              <w:rPr>
                <w:rFonts w:ascii="宋体" w:hAnsi="宋体" w:cs="仿宋_GB2312"/>
                <w:color w:val="auto"/>
                <w:sz w:val="24"/>
                <w:highlight w:val="none"/>
                <w:u w:val="none"/>
              </w:rPr>
            </w:pPr>
          </w:p>
        </w:tc>
      </w:tr>
      <w:tr w14:paraId="722D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819" w:type="dxa"/>
            <w:gridSpan w:val="6"/>
            <w:tcBorders>
              <w:top w:val="single" w:color="auto" w:sz="4" w:space="0"/>
              <w:left w:val="single" w:color="auto" w:sz="4" w:space="0"/>
              <w:bottom w:val="single" w:color="auto" w:sz="4" w:space="0"/>
              <w:right w:val="single" w:color="auto" w:sz="4" w:space="0"/>
            </w:tcBorders>
            <w:noWrap w:val="0"/>
            <w:vAlign w:val="center"/>
          </w:tcPr>
          <w:p w14:paraId="4C8AA5C3">
            <w:pPr>
              <w:spacing w:line="360" w:lineRule="auto"/>
              <w:rPr>
                <w:rFonts w:hint="eastAsia" w:ascii="宋体" w:hAnsi="宋体" w:eastAsia="宋体" w:cs="仿宋_GB2312"/>
                <w:color w:val="auto"/>
                <w:sz w:val="24"/>
                <w:highlight w:val="none"/>
                <w:u w:val="none"/>
              </w:rPr>
            </w:pPr>
            <w:r>
              <w:rPr>
                <w:rFonts w:hint="eastAsia" w:ascii="宋体" w:hAnsi="宋体" w:eastAsia="宋体" w:cs="仿宋_GB2312"/>
                <w:color w:val="auto"/>
                <w:sz w:val="24"/>
                <w:highlight w:val="none"/>
                <w:u w:val="none"/>
              </w:rPr>
              <w:t>备注：</w:t>
            </w:r>
          </w:p>
          <w:p w14:paraId="6707F0B0">
            <w:pPr>
              <w:pStyle w:val="2"/>
              <w:numPr>
                <w:ilvl w:val="0"/>
                <w:numId w:val="0"/>
              </w:numPr>
              <w:rPr>
                <w:rFonts w:hint="eastAsia"/>
                <w:color w:val="auto"/>
                <w:highlight w:val="none"/>
                <w:u w:val="none"/>
              </w:rPr>
            </w:pPr>
            <w:r>
              <w:rPr>
                <w:rFonts w:hint="eastAsia"/>
                <w:color w:val="auto"/>
                <w:highlight w:val="none"/>
                <w:u w:val="none"/>
              </w:rPr>
              <w:t>1.贷后管理服务费率最高限价为0.2%，根据中心住房公积金贷款时点日逾期率分档次设定费率比例（在签订合同时由双方协商决定费率的比例），费率比例不得超出成交费率。</w:t>
            </w:r>
          </w:p>
          <w:p w14:paraId="6AD52323">
            <w:pPr>
              <w:pStyle w:val="2"/>
              <w:numPr>
                <w:ilvl w:val="0"/>
                <w:numId w:val="0"/>
              </w:numPr>
              <w:rPr>
                <w:rFonts w:hint="eastAsia"/>
                <w:color w:val="auto"/>
                <w:highlight w:val="none"/>
                <w:u w:val="none"/>
              </w:rPr>
            </w:pPr>
            <w:r>
              <w:rPr>
                <w:rFonts w:hint="eastAsia"/>
                <w:color w:val="auto"/>
                <w:highlight w:val="none"/>
                <w:u w:val="none"/>
              </w:rPr>
              <w:t>2.计算公式：月度贷后管理服务费=中心当月住房公积金贷款利息收入*费率。</w:t>
            </w:r>
          </w:p>
          <w:p w14:paraId="067FEF00">
            <w:pPr>
              <w:pStyle w:val="2"/>
              <w:numPr>
                <w:ilvl w:val="0"/>
                <w:numId w:val="0"/>
              </w:numPr>
              <w:rPr>
                <w:rFonts w:hint="eastAsia"/>
                <w:color w:val="auto"/>
                <w:highlight w:val="none"/>
                <w:u w:val="none"/>
              </w:rPr>
            </w:pPr>
            <w:r>
              <w:rPr>
                <w:rFonts w:hint="eastAsia"/>
                <w:color w:val="auto"/>
                <w:highlight w:val="none"/>
                <w:u w:val="none"/>
                <w:lang w:val="en-US" w:eastAsia="zh-CN"/>
              </w:rPr>
              <w:t>3</w:t>
            </w:r>
            <w:r>
              <w:rPr>
                <w:rFonts w:hint="eastAsia"/>
                <w:color w:val="auto"/>
                <w:highlight w:val="none"/>
                <w:u w:val="none"/>
              </w:rPr>
              <w:t>.磋商报价为二次报价，第二次报价为最后报价。</w:t>
            </w:r>
          </w:p>
        </w:tc>
      </w:tr>
    </w:tbl>
    <w:p w14:paraId="5E176C19">
      <w:pPr>
        <w:snapToGrid w:val="0"/>
        <w:spacing w:before="50" w:after="50" w:line="360" w:lineRule="auto"/>
        <w:jc w:val="left"/>
        <w:rPr>
          <w:rFonts w:hint="eastAsia" w:ascii="宋体" w:hAnsi="宋体" w:cs="仿宋_GB2312"/>
          <w:color w:val="auto"/>
          <w:sz w:val="24"/>
          <w:highlight w:val="none"/>
          <w:u w:val="none"/>
        </w:rPr>
      </w:pPr>
      <w:r>
        <w:rPr>
          <w:rFonts w:hint="eastAsia" w:ascii="宋体" w:hAnsi="宋体" w:cs="仿宋_GB2312"/>
          <w:color w:val="auto"/>
          <w:sz w:val="24"/>
          <w:highlight w:val="none"/>
          <w:u w:val="none"/>
        </w:rPr>
        <w:t>注</w:t>
      </w:r>
      <w:r>
        <w:rPr>
          <w:rFonts w:hint="eastAsia" w:ascii="宋体" w:hAnsi="宋体" w:cs="仿宋_GB2312"/>
          <w:color w:val="auto"/>
          <w:sz w:val="24"/>
          <w:highlight w:val="none"/>
          <w:u w:val="none"/>
          <w:lang w:eastAsia="zh-CN"/>
        </w:rPr>
        <w:t>：</w:t>
      </w:r>
      <w:r>
        <w:rPr>
          <w:rFonts w:hint="eastAsia" w:ascii="宋体" w:hAnsi="宋体" w:cs="仿宋_GB2312"/>
          <w:color w:val="auto"/>
          <w:sz w:val="24"/>
          <w:highlight w:val="none"/>
          <w:u w:val="none"/>
        </w:rPr>
        <w:t xml:space="preserve"> </w:t>
      </w:r>
    </w:p>
    <w:p w14:paraId="1CFF0B85">
      <w:pPr>
        <w:snapToGrid w:val="0"/>
        <w:spacing w:before="50" w:after="50" w:line="400" w:lineRule="exact"/>
        <w:ind w:firstLine="480" w:firstLineChars="200"/>
        <w:jc w:val="left"/>
        <w:rPr>
          <w:rFonts w:hint="eastAsia" w:ascii="宋体" w:hAnsi="宋体" w:cs="仿宋_GB2312"/>
          <w:color w:val="auto"/>
          <w:sz w:val="24"/>
          <w:highlight w:val="none"/>
          <w:u w:val="none"/>
        </w:rPr>
      </w:pPr>
      <w:r>
        <w:rPr>
          <w:rFonts w:hint="eastAsia" w:ascii="宋体" w:hAnsi="宋体" w:cs="仿宋_GB2312"/>
          <w:color w:val="auto"/>
          <w:sz w:val="24"/>
          <w:highlight w:val="none"/>
          <w:u w:val="none"/>
        </w:rPr>
        <w:t>1.供应商的报价表必须加盖供应商公章并由法定代表人或者委托代理人签字，</w:t>
      </w:r>
      <w:r>
        <w:rPr>
          <w:rFonts w:hint="eastAsia" w:ascii="宋体" w:hAnsi="宋体" w:cs="仿宋_GB2312"/>
          <w:b/>
          <w:color w:val="auto"/>
          <w:sz w:val="24"/>
          <w:highlight w:val="none"/>
          <w:u w:val="none"/>
        </w:rPr>
        <w:t>否则其响应文件按无效响应处理</w:t>
      </w:r>
      <w:r>
        <w:rPr>
          <w:rFonts w:hint="eastAsia" w:ascii="宋体" w:hAnsi="宋体" w:cs="仿宋_GB2312"/>
          <w:color w:val="auto"/>
          <w:sz w:val="24"/>
          <w:highlight w:val="none"/>
          <w:u w:val="none"/>
        </w:rPr>
        <w:t>。</w:t>
      </w:r>
    </w:p>
    <w:p w14:paraId="704CDDF7">
      <w:pPr>
        <w:snapToGrid w:val="0"/>
        <w:spacing w:before="50" w:after="50" w:line="400" w:lineRule="exact"/>
        <w:ind w:firstLine="480" w:firstLineChars="200"/>
        <w:jc w:val="left"/>
        <w:rPr>
          <w:rFonts w:hint="eastAsia" w:ascii="宋体" w:hAnsi="宋体" w:cs="仿宋_GB2312"/>
          <w:b/>
          <w:color w:val="auto"/>
          <w:sz w:val="24"/>
          <w:highlight w:val="none"/>
          <w:u w:val="none"/>
        </w:rPr>
      </w:pPr>
      <w:r>
        <w:rPr>
          <w:rFonts w:hint="eastAsia" w:ascii="宋体" w:hAnsi="宋体" w:cs="仿宋_GB2312"/>
          <w:bCs/>
          <w:color w:val="auto"/>
          <w:sz w:val="24"/>
          <w:highlight w:val="none"/>
          <w:u w:val="none"/>
        </w:rPr>
        <w:t>2.</w:t>
      </w:r>
      <w:r>
        <w:rPr>
          <w:rFonts w:hint="eastAsia" w:ascii="宋体" w:hAnsi="宋体" w:cs="仿宋_GB2312"/>
          <w:color w:val="auto"/>
          <w:sz w:val="24"/>
          <w:highlight w:val="none"/>
          <w:u w:val="none"/>
        </w:rPr>
        <w:t>报价一经涂改，应在涂改处加盖供应商公章或者由法定代表人或者委托代理人签字或者盖章</w:t>
      </w:r>
      <w:r>
        <w:rPr>
          <w:rFonts w:hint="eastAsia" w:ascii="宋体" w:hAnsi="宋体" w:cs="仿宋_GB2312"/>
          <w:b/>
          <w:color w:val="auto"/>
          <w:sz w:val="24"/>
          <w:highlight w:val="none"/>
          <w:u w:val="none"/>
        </w:rPr>
        <w:t>，否则其响应文件按无效响应处理。</w:t>
      </w:r>
    </w:p>
    <w:p w14:paraId="23EACF20">
      <w:pPr>
        <w:snapToGrid w:val="0"/>
        <w:spacing w:before="50" w:after="50" w:line="400" w:lineRule="exact"/>
        <w:ind w:firstLine="480" w:firstLineChars="200"/>
        <w:jc w:val="left"/>
        <w:rPr>
          <w:rFonts w:hint="eastAsia" w:ascii="宋体" w:hAnsi="宋体" w:cs="仿宋_GB2312"/>
          <w:color w:val="auto"/>
          <w:sz w:val="24"/>
          <w:highlight w:val="none"/>
          <w:u w:val="none"/>
        </w:rPr>
      </w:pPr>
      <w:r>
        <w:rPr>
          <w:rFonts w:ascii="宋体" w:hAnsi="宋体" w:cs="仿宋_GB2312"/>
          <w:color w:val="auto"/>
          <w:sz w:val="24"/>
          <w:highlight w:val="none"/>
          <w:u w:val="none"/>
        </w:rPr>
        <w:t>3</w:t>
      </w:r>
      <w:r>
        <w:rPr>
          <w:rFonts w:hint="eastAsia" w:ascii="宋体" w:hAnsi="宋体" w:cs="仿宋_GB2312"/>
          <w:color w:val="auto"/>
          <w:sz w:val="24"/>
          <w:highlight w:val="none"/>
          <w:u w:val="none"/>
        </w:rPr>
        <w:t>.如为联合体竞标，“供应商名称”处必须列明联合体各方名称，标注联合体牵头人名称，</w:t>
      </w:r>
      <w:r>
        <w:rPr>
          <w:rFonts w:hint="eastAsia" w:ascii="宋体" w:hAnsi="宋体" w:cs="仿宋_GB2312"/>
          <w:b/>
          <w:color w:val="auto"/>
          <w:sz w:val="24"/>
          <w:highlight w:val="none"/>
          <w:u w:val="none"/>
        </w:rPr>
        <w:t>否则其响应文件按无效响应处理。</w:t>
      </w:r>
    </w:p>
    <w:p w14:paraId="5318281A">
      <w:pPr>
        <w:snapToGrid w:val="0"/>
        <w:spacing w:before="50" w:after="50" w:line="400" w:lineRule="exact"/>
        <w:ind w:firstLine="480" w:firstLineChars="200"/>
        <w:jc w:val="left"/>
        <w:rPr>
          <w:rFonts w:hint="eastAsia" w:ascii="宋体" w:hAnsi="宋体" w:cs="仿宋_GB2312"/>
          <w:color w:val="auto"/>
          <w:sz w:val="24"/>
          <w:highlight w:val="none"/>
          <w:u w:val="none"/>
        </w:rPr>
      </w:pPr>
      <w:r>
        <w:rPr>
          <w:rFonts w:ascii="宋体" w:hAnsi="宋体" w:cs="仿宋_GB2312"/>
          <w:color w:val="auto"/>
          <w:sz w:val="24"/>
          <w:highlight w:val="none"/>
          <w:u w:val="none"/>
        </w:rPr>
        <w:t>4</w:t>
      </w:r>
      <w:r>
        <w:rPr>
          <w:rFonts w:hint="eastAsia" w:ascii="宋体" w:hAnsi="宋体" w:cs="仿宋_GB2312"/>
          <w:color w:val="auto"/>
          <w:sz w:val="24"/>
          <w:highlight w:val="none"/>
          <w:u w:val="none"/>
        </w:rPr>
        <w:t>.如为联合体竞标，盖章处须加盖联合体各方公章，</w:t>
      </w:r>
      <w:r>
        <w:rPr>
          <w:rFonts w:hint="eastAsia" w:ascii="宋体" w:hAnsi="宋体" w:cs="仿宋_GB2312"/>
          <w:b/>
          <w:color w:val="auto"/>
          <w:sz w:val="24"/>
          <w:highlight w:val="none"/>
          <w:u w:val="none"/>
        </w:rPr>
        <w:t>否则其响应文件按无效响应处理。</w:t>
      </w:r>
    </w:p>
    <w:p w14:paraId="68973DA6">
      <w:pPr>
        <w:snapToGrid w:val="0"/>
        <w:spacing w:before="50" w:after="50" w:line="400" w:lineRule="exact"/>
        <w:ind w:firstLine="480" w:firstLineChars="200"/>
        <w:rPr>
          <w:rFonts w:hint="eastAsia" w:ascii="宋体" w:hAnsi="宋体" w:cs="仿宋_GB2312"/>
          <w:color w:val="auto"/>
          <w:sz w:val="24"/>
          <w:highlight w:val="none"/>
          <w:u w:val="none"/>
        </w:rPr>
      </w:pPr>
      <w:r>
        <w:rPr>
          <w:rFonts w:ascii="宋体" w:hAnsi="宋体" w:cs="仿宋_GB2312"/>
          <w:color w:val="auto"/>
          <w:sz w:val="24"/>
          <w:highlight w:val="none"/>
          <w:u w:val="none"/>
        </w:rPr>
        <w:t>5</w:t>
      </w:r>
      <w:r>
        <w:rPr>
          <w:rFonts w:hint="eastAsia" w:ascii="宋体" w:hAnsi="宋体" w:cs="仿宋_GB2312"/>
          <w:color w:val="auto"/>
          <w:sz w:val="24"/>
          <w:highlight w:val="none"/>
          <w:u w:val="none"/>
        </w:rPr>
        <w:t>.</w:t>
      </w:r>
      <w:r>
        <w:rPr>
          <w:rFonts w:hint="eastAsia" w:ascii="宋体" w:hAnsi="宋体" w:cs="仿宋_GB2312"/>
          <w:color w:val="auto"/>
          <w:spacing w:val="-6"/>
          <w:sz w:val="24"/>
          <w:highlight w:val="none"/>
          <w:u w:val="none"/>
        </w:rPr>
        <w:t>如有多分标，分别列明各分标的报价表，</w:t>
      </w:r>
      <w:r>
        <w:rPr>
          <w:rFonts w:hint="eastAsia" w:ascii="宋体" w:hAnsi="宋体" w:cs="仿宋_GB2312"/>
          <w:b/>
          <w:color w:val="auto"/>
          <w:spacing w:val="-6"/>
          <w:sz w:val="24"/>
          <w:highlight w:val="none"/>
          <w:u w:val="none"/>
        </w:rPr>
        <w:t>否则其响应文件按无效响应处理。</w:t>
      </w:r>
    </w:p>
    <w:p w14:paraId="145F44A8">
      <w:pPr>
        <w:snapToGrid w:val="0"/>
        <w:spacing w:before="50" w:after="50" w:line="360" w:lineRule="auto"/>
        <w:ind w:right="-817" w:rightChars="-389"/>
        <w:rPr>
          <w:rFonts w:hint="eastAsia" w:ascii="宋体" w:hAnsi="宋体" w:cs="仿宋_GB2312"/>
          <w:color w:val="auto"/>
          <w:sz w:val="24"/>
          <w:highlight w:val="none"/>
          <w:u w:val="none"/>
        </w:rPr>
      </w:pPr>
    </w:p>
    <w:p w14:paraId="1E1485D6">
      <w:pPr>
        <w:snapToGrid w:val="0"/>
        <w:spacing w:before="50" w:after="50" w:line="360" w:lineRule="auto"/>
        <w:ind w:right="-817" w:rightChars="-389" w:firstLine="960" w:firstLineChars="400"/>
        <w:rPr>
          <w:rFonts w:hint="eastAsia" w:ascii="宋体" w:hAnsi="宋体" w:cs="仿宋_GB2312"/>
          <w:color w:val="auto"/>
          <w:sz w:val="24"/>
          <w:highlight w:val="none"/>
          <w:u w:val="none"/>
        </w:rPr>
      </w:pPr>
      <w:r>
        <w:rPr>
          <w:rFonts w:hint="eastAsia" w:ascii="宋体" w:hAnsi="宋体" w:cs="仿宋_GB2312"/>
          <w:color w:val="auto"/>
          <w:sz w:val="24"/>
          <w:highlight w:val="none"/>
          <w:u w:val="none"/>
        </w:rPr>
        <w:t xml:space="preserve">法定代表人或者委托代理人（签字）：                    </w:t>
      </w:r>
    </w:p>
    <w:p w14:paraId="2E653ACE">
      <w:pPr>
        <w:snapToGrid w:val="0"/>
        <w:spacing w:before="50" w:after="50" w:line="360" w:lineRule="auto"/>
        <w:ind w:right="-817" w:rightChars="-389" w:firstLine="2640" w:firstLineChars="1100"/>
        <w:rPr>
          <w:rFonts w:hint="eastAsia" w:ascii="宋体" w:hAnsi="宋体" w:cs="仿宋_GB2312"/>
          <w:color w:val="auto"/>
          <w:sz w:val="24"/>
          <w:highlight w:val="none"/>
          <w:u w:val="none"/>
        </w:rPr>
      </w:pPr>
      <w:r>
        <w:rPr>
          <w:rFonts w:hint="eastAsia" w:ascii="宋体" w:hAnsi="宋体" w:cs="仿宋_GB2312"/>
          <w:color w:val="auto"/>
          <w:sz w:val="24"/>
          <w:highlight w:val="none"/>
          <w:u w:val="none"/>
        </w:rPr>
        <w:t xml:space="preserve">供应商（盖公章）：      </w:t>
      </w:r>
    </w:p>
    <w:p w14:paraId="1F91CC95">
      <w:pPr>
        <w:snapToGrid w:val="0"/>
        <w:spacing w:before="50" w:after="50" w:line="360" w:lineRule="auto"/>
        <w:ind w:right="-817" w:rightChars="-389" w:firstLine="2640" w:firstLineChars="1100"/>
        <w:rPr>
          <w:rFonts w:hint="eastAsia" w:ascii="宋体" w:hAnsi="宋体" w:cs="仿宋_GB2312"/>
          <w:color w:val="auto"/>
          <w:sz w:val="24"/>
          <w:highlight w:val="none"/>
          <w:u w:val="none"/>
        </w:rPr>
      </w:pPr>
      <w:r>
        <w:rPr>
          <w:rFonts w:hint="eastAsia" w:ascii="宋体" w:hAnsi="宋体" w:cs="仿宋_GB2312"/>
          <w:color w:val="auto"/>
          <w:sz w:val="24"/>
          <w:highlight w:val="none"/>
          <w:u w:val="none"/>
        </w:rPr>
        <w:t>日期：   年   月   日</w:t>
      </w:r>
    </w:p>
    <w:p w14:paraId="64543E1A">
      <w:pPr>
        <w:rPr>
          <w:rFonts w:hint="eastAsia" w:ascii="宋体" w:hAnsi="宋体" w:cs="仿宋_GB2312"/>
          <w:color w:val="auto"/>
          <w:sz w:val="24"/>
          <w:highlight w:val="none"/>
          <w:u w:val="none"/>
        </w:rPr>
      </w:pPr>
      <w:r>
        <w:rPr>
          <w:rFonts w:hint="eastAsia" w:ascii="宋体" w:hAnsi="宋体" w:cs="仿宋_GB2312"/>
          <w:color w:val="auto"/>
          <w:sz w:val="24"/>
          <w:highlight w:val="none"/>
          <w:u w:val="none"/>
        </w:rPr>
        <w:br w:type="page"/>
      </w:r>
    </w:p>
    <w:p w14:paraId="1643020B">
      <w:pPr>
        <w:pStyle w:val="2"/>
        <w:jc w:val="center"/>
        <w:rPr>
          <w:rFonts w:hint="eastAsia" w:ascii="Calibri" w:hAnsi="Calibri" w:eastAsia="宋体" w:cs="Times New Roman"/>
          <w:b/>
          <w:color w:val="auto"/>
          <w:kern w:val="44"/>
          <w:sz w:val="44"/>
          <w:szCs w:val="24"/>
          <w:highlight w:val="none"/>
          <w:u w:val="none"/>
          <w:lang w:val="en-US" w:eastAsia="zh-CN" w:bidi="ar-SA"/>
        </w:rPr>
      </w:pPr>
      <w:r>
        <w:rPr>
          <w:rFonts w:hint="eastAsia" w:cs="Times New Roman"/>
          <w:b/>
          <w:color w:val="auto"/>
          <w:kern w:val="44"/>
          <w:sz w:val="44"/>
          <w:szCs w:val="24"/>
          <w:highlight w:val="none"/>
          <w:u w:val="none"/>
          <w:lang w:val="en-US" w:eastAsia="zh-CN" w:bidi="ar-SA"/>
        </w:rPr>
        <w:t xml:space="preserve">第六章 </w:t>
      </w:r>
      <w:r>
        <w:rPr>
          <w:rFonts w:hint="eastAsia" w:ascii="Calibri" w:hAnsi="Calibri" w:eastAsia="宋体" w:cs="Times New Roman"/>
          <w:b/>
          <w:color w:val="auto"/>
          <w:kern w:val="44"/>
          <w:sz w:val="44"/>
          <w:szCs w:val="24"/>
          <w:highlight w:val="none"/>
          <w:u w:val="none"/>
          <w:lang w:val="en-US" w:eastAsia="zh-CN" w:bidi="ar-SA"/>
        </w:rPr>
        <w:t>合同文本</w:t>
      </w:r>
    </w:p>
    <w:p w14:paraId="3A50C94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p>
    <w:p w14:paraId="5F9E595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auto"/>
          <w:sz w:val="48"/>
          <w:szCs w:val="48"/>
          <w:highlight w:val="none"/>
          <w:u w:val="none"/>
          <w:lang w:val="en-US" w:eastAsia="zh-CN"/>
        </w:rPr>
      </w:pPr>
      <w:r>
        <w:rPr>
          <w:rFonts w:hint="eastAsia" w:ascii="方正小标宋简体" w:hAnsi="方正小标宋简体" w:eastAsia="方正小标宋简体" w:cs="方正小标宋简体"/>
          <w:b/>
          <w:bCs/>
          <w:color w:val="auto"/>
          <w:sz w:val="48"/>
          <w:szCs w:val="48"/>
          <w:highlight w:val="none"/>
          <w:u w:val="none"/>
          <w:lang w:val="en-US" w:eastAsia="zh-CN"/>
        </w:rPr>
        <w:t>住房公积金个人住房贷款贷后管理</w:t>
      </w:r>
    </w:p>
    <w:p w14:paraId="1166C72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auto"/>
          <w:sz w:val="48"/>
          <w:szCs w:val="48"/>
          <w:highlight w:val="none"/>
          <w:u w:val="none"/>
          <w:lang w:val="en-US" w:eastAsia="zh-CN"/>
        </w:rPr>
      </w:pPr>
      <w:r>
        <w:rPr>
          <w:rFonts w:hint="eastAsia" w:ascii="方正小标宋简体" w:hAnsi="方正小标宋简体" w:eastAsia="方正小标宋简体" w:cs="方正小标宋简体"/>
          <w:b/>
          <w:bCs/>
          <w:color w:val="auto"/>
          <w:sz w:val="48"/>
          <w:szCs w:val="48"/>
          <w:highlight w:val="none"/>
          <w:u w:val="none"/>
          <w:lang w:val="en-US" w:eastAsia="zh-CN"/>
        </w:rPr>
        <w:t>委托</w:t>
      </w:r>
      <w:r>
        <w:rPr>
          <w:rFonts w:hint="eastAsia" w:ascii="方正小标宋简体" w:hAnsi="方正小标宋简体" w:eastAsia="方正小标宋简体" w:cs="方正小标宋简体"/>
          <w:b/>
          <w:bCs/>
          <w:color w:val="auto"/>
          <w:sz w:val="48"/>
          <w:szCs w:val="48"/>
          <w:highlight w:val="none"/>
          <w:u w:val="none"/>
        </w:rPr>
        <w:t>服务</w:t>
      </w:r>
      <w:r>
        <w:rPr>
          <w:rFonts w:hint="eastAsia" w:ascii="方正小标宋简体" w:hAnsi="方正小标宋简体" w:eastAsia="方正小标宋简体" w:cs="方正小标宋简体"/>
          <w:b/>
          <w:bCs/>
          <w:color w:val="auto"/>
          <w:sz w:val="48"/>
          <w:szCs w:val="48"/>
          <w:highlight w:val="none"/>
          <w:u w:val="none"/>
          <w:lang w:eastAsia="zh-CN"/>
        </w:rPr>
        <w:t>协议</w:t>
      </w:r>
    </w:p>
    <w:p w14:paraId="3DB66DA0">
      <w:pPr>
        <w:jc w:val="center"/>
        <w:rPr>
          <w:rFonts w:hint="eastAsia" w:ascii="仿宋" w:hAnsi="仿宋" w:eastAsia="仿宋" w:cs="仿宋"/>
          <w:b w:val="0"/>
          <w:bCs w:val="0"/>
          <w:color w:val="auto"/>
          <w:kern w:val="2"/>
          <w:sz w:val="36"/>
          <w:szCs w:val="36"/>
          <w:highlight w:val="none"/>
          <w:u w:val="none"/>
          <w:lang w:val="en-US" w:eastAsia="zh-CN" w:bidi="ar-SA"/>
        </w:rPr>
      </w:pPr>
      <w:r>
        <w:rPr>
          <w:rFonts w:hint="eastAsia" w:ascii="仿宋" w:hAnsi="仿宋" w:eastAsia="仿宋" w:cs="仿宋"/>
          <w:b w:val="0"/>
          <w:bCs w:val="0"/>
          <w:color w:val="auto"/>
          <w:kern w:val="2"/>
          <w:sz w:val="36"/>
          <w:szCs w:val="36"/>
          <w:highlight w:val="none"/>
          <w:u w:val="none"/>
          <w:lang w:val="en-US" w:eastAsia="zh-CN" w:bidi="ar-SA"/>
        </w:rPr>
        <w:t>（样版）</w:t>
      </w:r>
    </w:p>
    <w:p w14:paraId="4666BEA1">
      <w:pPr>
        <w:pStyle w:val="8"/>
        <w:rPr>
          <w:color w:val="auto"/>
          <w:sz w:val="18"/>
          <w:szCs w:val="18"/>
          <w:highlight w:val="none"/>
          <w:u w:val="none"/>
        </w:rPr>
      </w:pPr>
    </w:p>
    <w:p w14:paraId="7C30D3A9">
      <w:pPr>
        <w:pStyle w:val="8"/>
        <w:ind w:left="0" w:leftChars="0" w:firstLine="0" w:firstLineChars="0"/>
        <w:rPr>
          <w:rFonts w:ascii="仿宋" w:hAnsi="仿宋" w:eastAsia="仿宋" w:cs="仿宋"/>
          <w:b/>
          <w:bCs/>
          <w:color w:val="auto"/>
          <w:spacing w:val="-4"/>
          <w:kern w:val="2"/>
          <w:sz w:val="36"/>
          <w:szCs w:val="36"/>
          <w:highlight w:val="none"/>
          <w:u w:val="none"/>
          <w:lang w:val="en-US" w:eastAsia="en-US" w:bidi="ar-SA"/>
        </w:rPr>
      </w:pPr>
    </w:p>
    <w:p w14:paraId="61893EB3">
      <w:pPr>
        <w:pStyle w:val="8"/>
        <w:ind w:left="0" w:leftChars="0" w:firstLine="0" w:firstLineChars="0"/>
        <w:rPr>
          <w:rFonts w:ascii="仿宋" w:hAnsi="仿宋" w:eastAsia="仿宋" w:cs="仿宋"/>
          <w:b/>
          <w:bCs/>
          <w:color w:val="auto"/>
          <w:spacing w:val="-4"/>
          <w:kern w:val="2"/>
          <w:sz w:val="36"/>
          <w:szCs w:val="36"/>
          <w:highlight w:val="none"/>
          <w:u w:val="none"/>
          <w:lang w:val="en-US" w:eastAsia="en-US" w:bidi="ar-SA"/>
        </w:rPr>
      </w:pPr>
    </w:p>
    <w:p w14:paraId="0500A26B">
      <w:pPr>
        <w:ind w:left="899" w:leftChars="428"/>
        <w:rPr>
          <w:rFonts w:hint="eastAsia" w:ascii="仿宋_GB2312" w:hAnsi="宋体" w:eastAsia="仿宋_GB2312"/>
          <w:b/>
          <w:color w:val="auto"/>
          <w:sz w:val="36"/>
          <w:szCs w:val="36"/>
          <w:highlight w:val="none"/>
          <w:u w:val="none"/>
        </w:rPr>
      </w:pPr>
      <w:r>
        <w:rPr>
          <w:rFonts w:hint="eastAsia" w:ascii="楷体_GB2312" w:hAnsi="宋体" w:eastAsia="楷体_GB2312"/>
          <w:b/>
          <w:color w:val="auto"/>
          <w:sz w:val="36"/>
          <w:szCs w:val="36"/>
          <w:highlight w:val="none"/>
          <w:u w:val="none"/>
        </w:rPr>
        <w:t>甲方</w:t>
      </w:r>
      <w:r>
        <w:rPr>
          <w:rFonts w:hint="eastAsia" w:ascii="楷体_GB2312" w:hAnsi="宋体" w:eastAsia="楷体_GB2312"/>
          <w:b/>
          <w:color w:val="auto"/>
          <w:sz w:val="36"/>
          <w:szCs w:val="36"/>
          <w:highlight w:val="none"/>
          <w:u w:val="none"/>
          <w:lang w:eastAsia="zh-CN"/>
        </w:rPr>
        <w:t>（委托方）</w:t>
      </w:r>
      <w:r>
        <w:rPr>
          <w:rFonts w:hint="eastAsia" w:ascii="楷体_GB2312" w:hAnsi="宋体" w:eastAsia="楷体_GB2312"/>
          <w:b/>
          <w:color w:val="auto"/>
          <w:sz w:val="36"/>
          <w:szCs w:val="36"/>
          <w:highlight w:val="none"/>
          <w:u w:val="none"/>
        </w:rPr>
        <w:t>：</w:t>
      </w:r>
    </w:p>
    <w:p w14:paraId="25E10AD8">
      <w:pPr>
        <w:ind w:left="899" w:leftChars="428"/>
        <w:rPr>
          <w:rFonts w:hint="eastAsia" w:ascii="仿宋_GB2312" w:hAnsi="宋体" w:eastAsia="仿宋_GB2312"/>
          <w:b/>
          <w:color w:val="auto"/>
          <w:sz w:val="36"/>
          <w:szCs w:val="36"/>
          <w:highlight w:val="none"/>
          <w:u w:val="none"/>
        </w:rPr>
      </w:pPr>
      <w:r>
        <w:rPr>
          <w:rFonts w:hint="eastAsia" w:ascii="楷体_GB2312" w:hAnsi="宋体" w:eastAsia="楷体_GB2312"/>
          <w:b/>
          <w:color w:val="auto"/>
          <w:sz w:val="36"/>
          <w:szCs w:val="36"/>
          <w:highlight w:val="none"/>
          <w:u w:val="none"/>
        </w:rPr>
        <w:t>法定代表人</w:t>
      </w:r>
      <w:r>
        <w:rPr>
          <w:rFonts w:hint="eastAsia" w:ascii="黑体" w:hAnsi="黑体" w:eastAsia="黑体" w:cs="黑体"/>
          <w:color w:val="auto"/>
          <w:sz w:val="32"/>
          <w:szCs w:val="32"/>
          <w:highlight w:val="none"/>
          <w:u w:val="none"/>
        </w:rPr>
        <w:t>：</w:t>
      </w:r>
      <w:r>
        <w:rPr>
          <w:rFonts w:hint="eastAsia" w:ascii="仿宋_GB2312" w:hAnsi="宋体" w:eastAsia="仿宋_GB2312"/>
          <w:b/>
          <w:color w:val="auto"/>
          <w:sz w:val="36"/>
          <w:szCs w:val="36"/>
          <w:highlight w:val="none"/>
          <w:u w:val="none"/>
        </w:rPr>
        <w:t xml:space="preserve"> </w:t>
      </w:r>
    </w:p>
    <w:p w14:paraId="0F93B053">
      <w:pPr>
        <w:ind w:left="899" w:leftChars="428"/>
        <w:rPr>
          <w:rFonts w:hint="eastAsia" w:ascii="仿宋_GB2312" w:hAnsi="宋体" w:eastAsia="仿宋_GB2312"/>
          <w:b/>
          <w:color w:val="auto"/>
          <w:sz w:val="36"/>
          <w:szCs w:val="36"/>
          <w:highlight w:val="none"/>
          <w:u w:val="none"/>
        </w:rPr>
      </w:pPr>
      <w:r>
        <w:rPr>
          <w:rFonts w:hint="eastAsia" w:ascii="楷体_GB2312" w:hAnsi="宋体" w:eastAsia="楷体_GB2312"/>
          <w:b/>
          <w:color w:val="auto"/>
          <w:sz w:val="36"/>
          <w:szCs w:val="36"/>
          <w:highlight w:val="none"/>
          <w:u w:val="none"/>
        </w:rPr>
        <w:t>地    址：</w:t>
      </w:r>
      <w:r>
        <w:rPr>
          <w:rFonts w:hint="eastAsia" w:ascii="仿宋_GB2312" w:hAnsi="宋体" w:eastAsia="仿宋_GB2312"/>
          <w:b/>
          <w:color w:val="auto"/>
          <w:sz w:val="36"/>
          <w:szCs w:val="36"/>
          <w:highlight w:val="none"/>
          <w:u w:val="none"/>
        </w:rPr>
        <w:t xml:space="preserve"> </w:t>
      </w:r>
    </w:p>
    <w:p w14:paraId="608E01C7">
      <w:pPr>
        <w:ind w:left="899" w:leftChars="428"/>
        <w:rPr>
          <w:rFonts w:hint="eastAsia" w:ascii="仿宋_GB2312" w:hAnsi="宋体" w:eastAsia="仿宋_GB2312"/>
          <w:b/>
          <w:color w:val="auto"/>
          <w:sz w:val="36"/>
          <w:szCs w:val="36"/>
          <w:highlight w:val="none"/>
          <w:u w:val="none"/>
        </w:rPr>
      </w:pPr>
      <w:r>
        <w:rPr>
          <w:rFonts w:hint="eastAsia" w:ascii="楷体_GB2312" w:hAnsi="宋体" w:eastAsia="楷体_GB2312"/>
          <w:b/>
          <w:color w:val="auto"/>
          <w:sz w:val="36"/>
          <w:szCs w:val="36"/>
          <w:highlight w:val="none"/>
          <w:u w:val="none"/>
        </w:rPr>
        <w:t>邮    编：</w:t>
      </w:r>
    </w:p>
    <w:p w14:paraId="4A552F62">
      <w:pPr>
        <w:spacing w:line="500" w:lineRule="exact"/>
        <w:rPr>
          <w:rFonts w:hint="eastAsia" w:ascii="仿宋_GB2312" w:hAnsi="宋体" w:eastAsia="仿宋_GB2312"/>
          <w:b/>
          <w:color w:val="auto"/>
          <w:sz w:val="36"/>
          <w:szCs w:val="36"/>
          <w:highlight w:val="none"/>
          <w:u w:val="none"/>
        </w:rPr>
      </w:pPr>
    </w:p>
    <w:p w14:paraId="1E5CAC86">
      <w:pPr>
        <w:spacing w:line="500" w:lineRule="exact"/>
        <w:rPr>
          <w:rFonts w:hint="eastAsia" w:ascii="仿宋_GB2312" w:hAnsi="宋体" w:eastAsia="仿宋_GB2312"/>
          <w:b/>
          <w:color w:val="auto"/>
          <w:sz w:val="36"/>
          <w:szCs w:val="36"/>
          <w:highlight w:val="none"/>
          <w:u w:val="none"/>
        </w:rPr>
      </w:pPr>
    </w:p>
    <w:p w14:paraId="68296D2F">
      <w:pPr>
        <w:spacing w:line="500" w:lineRule="exact"/>
        <w:ind w:left="899" w:leftChars="428"/>
        <w:rPr>
          <w:rFonts w:hint="eastAsia" w:ascii="仿宋_GB2312" w:hAnsi="宋体" w:eastAsia="仿宋_GB2312"/>
          <w:b/>
          <w:color w:val="auto"/>
          <w:sz w:val="36"/>
          <w:szCs w:val="36"/>
          <w:highlight w:val="none"/>
          <w:u w:val="none"/>
        </w:rPr>
      </w:pPr>
    </w:p>
    <w:p w14:paraId="25407B04">
      <w:pPr>
        <w:spacing w:line="500" w:lineRule="exact"/>
        <w:ind w:left="899" w:leftChars="428"/>
        <w:rPr>
          <w:rFonts w:hint="eastAsia" w:ascii="仿宋_GB2312" w:hAnsi="宋体" w:eastAsia="仿宋_GB2312"/>
          <w:b/>
          <w:color w:val="auto"/>
          <w:sz w:val="36"/>
          <w:szCs w:val="36"/>
          <w:highlight w:val="none"/>
          <w:u w:val="none"/>
        </w:rPr>
      </w:pPr>
    </w:p>
    <w:p w14:paraId="39BBCE96">
      <w:pPr>
        <w:spacing w:line="500" w:lineRule="exact"/>
        <w:ind w:left="899" w:leftChars="428"/>
        <w:rPr>
          <w:rFonts w:hint="eastAsia" w:ascii="楷体_GB2312" w:hAnsi="宋体" w:eastAsia="楷体_GB2312"/>
          <w:b/>
          <w:bCs/>
          <w:color w:val="auto"/>
          <w:sz w:val="36"/>
          <w:szCs w:val="36"/>
          <w:highlight w:val="none"/>
          <w:u w:val="none"/>
        </w:rPr>
      </w:pPr>
      <w:r>
        <w:rPr>
          <w:rFonts w:hint="eastAsia" w:ascii="楷体_GB2312" w:hAnsi="宋体" w:eastAsia="楷体_GB2312"/>
          <w:b/>
          <w:bCs/>
          <w:color w:val="auto"/>
          <w:sz w:val="36"/>
          <w:szCs w:val="36"/>
          <w:highlight w:val="none"/>
          <w:u w:val="none"/>
        </w:rPr>
        <w:t>乙方</w:t>
      </w:r>
      <w:r>
        <w:rPr>
          <w:rFonts w:hint="eastAsia" w:ascii="楷体_GB2312" w:hAnsi="宋体" w:eastAsia="楷体_GB2312"/>
          <w:b/>
          <w:bCs/>
          <w:color w:val="auto"/>
          <w:sz w:val="36"/>
          <w:szCs w:val="36"/>
          <w:highlight w:val="none"/>
          <w:u w:val="none"/>
          <w:lang w:eastAsia="zh-CN"/>
        </w:rPr>
        <w:t>（受托方）</w:t>
      </w:r>
      <w:r>
        <w:rPr>
          <w:rFonts w:hint="eastAsia" w:ascii="楷体_GB2312" w:hAnsi="宋体" w:eastAsia="楷体_GB2312"/>
          <w:b/>
          <w:bCs/>
          <w:color w:val="auto"/>
          <w:sz w:val="36"/>
          <w:szCs w:val="36"/>
          <w:highlight w:val="none"/>
          <w:u w:val="none"/>
        </w:rPr>
        <w:t>：</w:t>
      </w:r>
    </w:p>
    <w:p w14:paraId="4227EEDD">
      <w:pPr>
        <w:spacing w:line="500" w:lineRule="exact"/>
        <w:ind w:left="899" w:leftChars="428"/>
        <w:rPr>
          <w:rFonts w:hint="eastAsia" w:ascii="黑体" w:hAnsi="黑体" w:eastAsia="黑体" w:cs="黑体"/>
          <w:color w:val="auto"/>
          <w:sz w:val="32"/>
          <w:szCs w:val="32"/>
          <w:highlight w:val="none"/>
          <w:u w:val="none"/>
        </w:rPr>
      </w:pPr>
      <w:r>
        <w:rPr>
          <w:rFonts w:hint="eastAsia" w:ascii="楷体_GB2312" w:hAnsi="宋体" w:eastAsia="楷体_GB2312"/>
          <w:b/>
          <w:color w:val="auto"/>
          <w:sz w:val="36"/>
          <w:szCs w:val="36"/>
          <w:highlight w:val="none"/>
          <w:u w:val="none"/>
        </w:rPr>
        <w:t>法定代表人</w:t>
      </w:r>
      <w:r>
        <w:rPr>
          <w:rFonts w:hint="eastAsia" w:ascii="黑体" w:hAnsi="黑体" w:eastAsia="黑体" w:cs="黑体"/>
          <w:color w:val="auto"/>
          <w:sz w:val="32"/>
          <w:szCs w:val="32"/>
          <w:highlight w:val="none"/>
          <w:u w:val="none"/>
        </w:rPr>
        <w:t>：</w:t>
      </w:r>
    </w:p>
    <w:p w14:paraId="17DF3C47">
      <w:pPr>
        <w:spacing w:line="500" w:lineRule="exact"/>
        <w:ind w:left="899" w:leftChars="428"/>
        <w:rPr>
          <w:rFonts w:hint="eastAsia" w:ascii="楷体_GB2312" w:hAnsi="宋体" w:eastAsia="楷体_GB2312"/>
          <w:b/>
          <w:bCs/>
          <w:color w:val="auto"/>
          <w:sz w:val="36"/>
          <w:szCs w:val="36"/>
          <w:highlight w:val="none"/>
          <w:u w:val="none"/>
        </w:rPr>
      </w:pPr>
      <w:r>
        <w:rPr>
          <w:rFonts w:hint="eastAsia" w:ascii="楷体_GB2312" w:hAnsi="宋体" w:eastAsia="楷体_GB2312"/>
          <w:b/>
          <w:bCs/>
          <w:color w:val="auto"/>
          <w:sz w:val="36"/>
          <w:szCs w:val="36"/>
          <w:highlight w:val="none"/>
          <w:u w:val="none"/>
        </w:rPr>
        <w:t>地    址：</w:t>
      </w:r>
    </w:p>
    <w:p w14:paraId="0883E705">
      <w:pPr>
        <w:spacing w:line="500" w:lineRule="exact"/>
        <w:ind w:left="899" w:leftChars="428"/>
        <w:rPr>
          <w:rFonts w:hint="eastAsia" w:ascii="楷体_GB2312" w:hAnsi="宋体" w:eastAsia="楷体_GB2312"/>
          <w:b/>
          <w:bCs/>
          <w:color w:val="auto"/>
          <w:sz w:val="36"/>
          <w:szCs w:val="36"/>
          <w:highlight w:val="none"/>
          <w:u w:val="none"/>
        </w:rPr>
      </w:pPr>
      <w:r>
        <w:rPr>
          <w:rFonts w:hint="eastAsia" w:ascii="楷体_GB2312" w:hAnsi="宋体" w:eastAsia="楷体_GB2312"/>
          <w:b/>
          <w:bCs/>
          <w:color w:val="auto"/>
          <w:sz w:val="36"/>
          <w:szCs w:val="36"/>
          <w:highlight w:val="none"/>
          <w:u w:val="none"/>
        </w:rPr>
        <w:t>邮    编：</w:t>
      </w:r>
    </w:p>
    <w:p w14:paraId="0EEC1AE0">
      <w:pPr>
        <w:pStyle w:val="8"/>
        <w:ind w:left="0" w:leftChars="0" w:firstLine="0" w:firstLineChars="0"/>
        <w:rPr>
          <w:rFonts w:ascii="仿宋" w:hAnsi="仿宋" w:eastAsia="仿宋" w:cs="仿宋"/>
          <w:color w:val="auto"/>
          <w:spacing w:val="37"/>
          <w:kern w:val="2"/>
          <w:sz w:val="32"/>
          <w:szCs w:val="32"/>
          <w:highlight w:val="none"/>
          <w:u w:val="none"/>
          <w:lang w:val="en-US" w:eastAsia="en-US" w:bidi="ar-SA"/>
        </w:rPr>
      </w:pPr>
    </w:p>
    <w:p w14:paraId="3CAA83DF">
      <w:pPr>
        <w:pStyle w:val="8"/>
        <w:ind w:firstLine="394" w:firstLineChars="100"/>
        <w:jc w:val="center"/>
        <w:rPr>
          <w:rFonts w:hint="eastAsia" w:ascii="仿宋" w:hAnsi="仿宋" w:eastAsia="仿宋" w:cs="仿宋"/>
          <w:color w:val="auto"/>
          <w:spacing w:val="37"/>
          <w:kern w:val="2"/>
          <w:sz w:val="32"/>
          <w:szCs w:val="32"/>
          <w:highlight w:val="none"/>
          <w:u w:val="none"/>
          <w:lang w:val="en-US" w:eastAsia="zh-CN" w:bidi="ar-SA"/>
        </w:rPr>
      </w:pPr>
      <w:r>
        <w:rPr>
          <w:rFonts w:hint="eastAsia" w:ascii="仿宋" w:hAnsi="仿宋" w:eastAsia="仿宋" w:cs="仿宋"/>
          <w:color w:val="auto"/>
          <w:spacing w:val="37"/>
          <w:kern w:val="2"/>
          <w:sz w:val="32"/>
          <w:szCs w:val="32"/>
          <w:highlight w:val="none"/>
          <w:u w:val="none"/>
          <w:lang w:val="en-US" w:eastAsia="zh-CN" w:bidi="ar-SA"/>
        </w:rPr>
        <w:t xml:space="preserve"> </w:t>
      </w:r>
    </w:p>
    <w:p w14:paraId="627A06B4">
      <w:pPr>
        <w:pStyle w:val="8"/>
        <w:ind w:firstLine="394" w:firstLineChars="100"/>
        <w:jc w:val="center"/>
        <w:rPr>
          <w:rFonts w:hint="eastAsia" w:ascii="仿宋" w:hAnsi="仿宋" w:eastAsia="仿宋" w:cs="仿宋"/>
          <w:b w:val="0"/>
          <w:bCs w:val="0"/>
          <w:color w:val="auto"/>
          <w:sz w:val="32"/>
          <w:szCs w:val="32"/>
          <w:highlight w:val="none"/>
          <w:u w:val="none"/>
          <w:lang w:eastAsia="zh-CN"/>
        </w:rPr>
      </w:pPr>
      <w:r>
        <w:rPr>
          <w:rFonts w:hint="eastAsia" w:ascii="仿宋" w:hAnsi="仿宋" w:eastAsia="仿宋" w:cs="仿宋"/>
          <w:color w:val="auto"/>
          <w:spacing w:val="37"/>
          <w:kern w:val="2"/>
          <w:sz w:val="32"/>
          <w:szCs w:val="32"/>
          <w:highlight w:val="none"/>
          <w:u w:val="none"/>
          <w:lang w:val="en-US" w:eastAsia="zh-CN" w:bidi="ar-SA"/>
        </w:rPr>
        <w:t>年 月</w:t>
      </w:r>
    </w:p>
    <w:p w14:paraId="34BEE831">
      <w:pPr>
        <w:pStyle w:val="4"/>
        <w:rPr>
          <w:rFonts w:hint="default"/>
          <w:color w:val="auto"/>
          <w:highlight w:val="none"/>
          <w:u w:val="none"/>
          <w:lang w:val="en-US" w:eastAsia="zh-CN"/>
        </w:rPr>
      </w:pPr>
    </w:p>
    <w:p w14:paraId="12774B95">
      <w:pPr>
        <w:pStyle w:val="5"/>
        <w:rPr>
          <w:rFonts w:hint="default"/>
          <w:color w:val="auto"/>
          <w:highlight w:val="none"/>
          <w:u w:val="none"/>
          <w:lang w:val="en-US" w:eastAsia="zh-CN"/>
        </w:rPr>
      </w:pPr>
    </w:p>
    <w:p w14:paraId="7A1093F5">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outlineLvl w:val="9"/>
        <w:rPr>
          <w:rFonts w:hint="eastAsia" w:ascii="仿宋" w:hAnsi="仿宋" w:eastAsia="仿宋" w:cs="仿宋"/>
          <w:b w:val="0"/>
          <w:bCs w:val="0"/>
          <w:color w:val="auto"/>
          <w:sz w:val="28"/>
          <w:szCs w:val="28"/>
          <w:highlight w:val="none"/>
          <w:u w:val="none"/>
          <w:lang w:eastAsia="zh-CN"/>
        </w:rPr>
      </w:pPr>
      <w:r>
        <w:rPr>
          <w:rFonts w:hint="eastAsia" w:ascii="仿宋" w:hAnsi="仿宋" w:eastAsia="仿宋" w:cs="仿宋"/>
          <w:b w:val="0"/>
          <w:bCs w:val="0"/>
          <w:color w:val="auto"/>
          <w:sz w:val="28"/>
          <w:szCs w:val="28"/>
          <w:highlight w:val="none"/>
          <w:u w:val="none"/>
          <w:lang w:eastAsia="zh-CN"/>
        </w:rPr>
        <w:t>为明确委托事项及双方权利和义务，根据国家和自治区有关法律法规规定，甲、乙双方本着平等互利、诚实信用的原则，经协商一致，签订本协议，共同遵守。</w:t>
      </w:r>
    </w:p>
    <w:p w14:paraId="39ACFE2A">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outlineLvl w:val="9"/>
        <w:rPr>
          <w:rFonts w:hint="eastAsia" w:ascii="黑体" w:hAnsi="黑体" w:eastAsia="黑体" w:cs="黑体"/>
          <w:b w:val="0"/>
          <w:bCs w:val="0"/>
          <w:color w:val="auto"/>
          <w:sz w:val="28"/>
          <w:szCs w:val="28"/>
          <w:highlight w:val="none"/>
          <w:u w:val="none"/>
          <w:lang w:eastAsia="zh-CN"/>
        </w:rPr>
      </w:pPr>
      <w:r>
        <w:rPr>
          <w:rFonts w:hint="eastAsia" w:ascii="黑体" w:hAnsi="黑体" w:eastAsia="黑体" w:cs="黑体"/>
          <w:b w:val="0"/>
          <w:bCs w:val="0"/>
          <w:color w:val="auto"/>
          <w:sz w:val="28"/>
          <w:szCs w:val="28"/>
          <w:highlight w:val="none"/>
          <w:u w:val="none"/>
          <w:lang w:eastAsia="zh-CN"/>
        </w:rPr>
        <w:t>第一条 委托服务事项</w:t>
      </w:r>
    </w:p>
    <w:p w14:paraId="2793D87F">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outlineLvl w:val="9"/>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kern w:val="2"/>
          <w:sz w:val="28"/>
          <w:szCs w:val="28"/>
          <w:highlight w:val="none"/>
          <w:u w:val="none"/>
          <w:lang w:val="en-US" w:eastAsia="zh-CN" w:bidi="ar-SA"/>
        </w:rPr>
        <w:t>乙方对甲方已发放的全部住房公积金个人住房贷款提供贷后管理服务，本协议所指住房公积金个人住房贷款的范围包括甲方所有已发放的住房公积金贷款、组合贷款中的住房公积金贷款部分等各类住房公积金个人住房贷款（以下均统称为住房公积金贷款）。服务包括但不限于以下内容：</w:t>
      </w:r>
    </w:p>
    <w:p w14:paraId="0AACE36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eastAsia="zh-CN"/>
        </w:rPr>
        <w:t xml:space="preserve">  （一）根据甲方出具的</w:t>
      </w:r>
      <w:r>
        <w:rPr>
          <w:rFonts w:hint="eastAsia" w:ascii="仿宋" w:hAnsi="仿宋" w:eastAsia="仿宋" w:cs="仿宋"/>
          <w:b w:val="0"/>
          <w:bCs w:val="0"/>
          <w:color w:val="auto"/>
          <w:sz w:val="28"/>
          <w:szCs w:val="28"/>
          <w:highlight w:val="none"/>
          <w:u w:val="none"/>
          <w:lang w:val="en-US" w:eastAsia="zh-CN"/>
        </w:rPr>
        <w:t>住房公积金贷款</w:t>
      </w:r>
      <w:r>
        <w:rPr>
          <w:rFonts w:hint="eastAsia" w:ascii="仿宋" w:hAnsi="仿宋" w:eastAsia="仿宋" w:cs="仿宋"/>
          <w:b w:val="0"/>
          <w:bCs w:val="0"/>
          <w:color w:val="auto"/>
          <w:sz w:val="28"/>
          <w:szCs w:val="28"/>
          <w:highlight w:val="none"/>
          <w:u w:val="none"/>
          <w:lang w:eastAsia="zh-CN"/>
        </w:rPr>
        <w:t>逾期清单（具体名称以实际为准，下同），</w:t>
      </w:r>
      <w:r>
        <w:rPr>
          <w:rFonts w:hint="eastAsia" w:ascii="仿宋" w:hAnsi="仿宋" w:eastAsia="仿宋" w:cs="仿宋"/>
          <w:b w:val="0"/>
          <w:bCs w:val="0"/>
          <w:color w:val="auto"/>
          <w:sz w:val="28"/>
          <w:szCs w:val="28"/>
          <w:highlight w:val="none"/>
          <w:u w:val="none"/>
          <w:lang w:val="en-US" w:eastAsia="zh-CN"/>
        </w:rPr>
        <w:t>对逾期1期及以上的借款人等进行</w:t>
      </w:r>
      <w:r>
        <w:rPr>
          <w:rFonts w:hint="eastAsia" w:ascii="仿宋" w:hAnsi="仿宋" w:eastAsia="仿宋" w:cs="仿宋"/>
          <w:b w:val="0"/>
          <w:bCs w:val="0"/>
          <w:color w:val="auto"/>
          <w:sz w:val="28"/>
          <w:szCs w:val="28"/>
          <w:highlight w:val="none"/>
          <w:u w:val="none"/>
          <w:lang w:eastAsia="zh-CN"/>
        </w:rPr>
        <w:t>逾期提醒和合法催收（不含由第三方担保机构提供阶段性担保期内的住房公积金贷款）。催收方式包括但不限于</w:t>
      </w:r>
      <w:r>
        <w:rPr>
          <w:rFonts w:hint="eastAsia" w:ascii="仿宋" w:hAnsi="仿宋" w:eastAsia="仿宋" w:cs="仿宋"/>
          <w:b w:val="0"/>
          <w:bCs w:val="0"/>
          <w:color w:val="auto"/>
          <w:kern w:val="2"/>
          <w:sz w:val="28"/>
          <w:szCs w:val="28"/>
          <w:highlight w:val="none"/>
          <w:u w:val="none"/>
          <w:lang w:val="en-US" w:eastAsia="zh-CN" w:bidi="ar-SA"/>
        </w:rPr>
        <w:t>电话、短信、发函、上门催收等方式，向借款人等有关人员进行逾期提醒和合法催收还款</w:t>
      </w:r>
      <w:r>
        <w:rPr>
          <w:rFonts w:hint="eastAsia" w:ascii="仿宋" w:hAnsi="仿宋" w:eastAsia="仿宋" w:cs="仿宋"/>
          <w:b w:val="0"/>
          <w:bCs w:val="0"/>
          <w:color w:val="auto"/>
          <w:sz w:val="28"/>
          <w:szCs w:val="28"/>
          <w:highlight w:val="none"/>
          <w:u w:val="none"/>
          <w:lang w:eastAsia="zh-CN"/>
        </w:rPr>
        <w:t>。</w:t>
      </w:r>
    </w:p>
    <w:p w14:paraId="469228A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eastAsia" w:ascii="黑体" w:hAnsi="黑体" w:eastAsia="黑体" w:cs="黑体"/>
          <w:b w:val="0"/>
          <w:bCs w:val="0"/>
          <w:color w:val="auto"/>
          <w:sz w:val="28"/>
          <w:szCs w:val="28"/>
          <w:highlight w:val="none"/>
          <w:u w:val="none"/>
          <w:lang w:eastAsia="zh-CN"/>
        </w:rPr>
      </w:pPr>
      <w:r>
        <w:rPr>
          <w:rFonts w:hint="eastAsia" w:ascii="仿宋" w:hAnsi="仿宋" w:eastAsia="仿宋" w:cs="仿宋"/>
          <w:b w:val="0"/>
          <w:bCs w:val="0"/>
          <w:color w:val="auto"/>
          <w:sz w:val="28"/>
          <w:szCs w:val="28"/>
          <w:highlight w:val="none"/>
          <w:u w:val="none"/>
          <w:lang w:eastAsia="zh-CN"/>
        </w:rPr>
        <w:t xml:space="preserve"> </w:t>
      </w: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b w:val="0"/>
          <w:bCs w:val="0"/>
          <w:color w:val="auto"/>
          <w:sz w:val="28"/>
          <w:szCs w:val="28"/>
          <w:highlight w:val="none"/>
          <w:u w:val="none"/>
          <w:lang w:eastAsia="zh-CN"/>
        </w:rPr>
        <w:t xml:space="preserve"> </w:t>
      </w:r>
      <w:r>
        <w:rPr>
          <w:rFonts w:hint="eastAsia" w:ascii="仿宋" w:hAnsi="仿宋" w:eastAsia="仿宋" w:cs="仿宋"/>
          <w:b w:val="0"/>
          <w:bCs w:val="0"/>
          <w:color w:val="auto"/>
          <w:sz w:val="28"/>
          <w:szCs w:val="28"/>
          <w:highlight w:val="none"/>
          <w:u w:val="none"/>
          <w:lang w:val="en-US" w:eastAsia="zh-CN"/>
        </w:rPr>
        <w:t>（二）对甲方发放的住房公积金贷款出现逾期6期及以上或借款人发生根本性违约情形时，在符合法律法规规章、监管机构要求及双方内部管理制度的基础上，</w:t>
      </w:r>
      <w:r>
        <w:rPr>
          <w:rFonts w:hint="eastAsia" w:ascii="仿宋" w:hAnsi="仿宋" w:eastAsia="仿宋" w:cs="仿宋"/>
          <w:b w:val="0"/>
          <w:bCs w:val="0"/>
          <w:color w:val="auto"/>
          <w:sz w:val="28"/>
          <w:szCs w:val="28"/>
          <w:highlight w:val="none"/>
          <w:u w:val="none"/>
          <w:lang w:eastAsia="zh-CN"/>
        </w:rPr>
        <w:t>根据甲方出具的</w:t>
      </w:r>
      <w:r>
        <w:rPr>
          <w:rFonts w:hint="eastAsia" w:ascii="仿宋" w:hAnsi="仿宋" w:eastAsia="仿宋" w:cs="仿宋"/>
          <w:b w:val="0"/>
          <w:bCs w:val="0"/>
          <w:color w:val="auto"/>
          <w:sz w:val="28"/>
          <w:szCs w:val="28"/>
          <w:highlight w:val="none"/>
          <w:u w:val="none"/>
          <w:lang w:val="en-US" w:eastAsia="zh-CN"/>
        </w:rPr>
        <w:t>通知书</w:t>
      </w:r>
      <w:r>
        <w:rPr>
          <w:rFonts w:hint="eastAsia" w:ascii="仿宋" w:hAnsi="仿宋" w:eastAsia="仿宋" w:cs="仿宋"/>
          <w:b w:val="0"/>
          <w:bCs w:val="0"/>
          <w:color w:val="auto"/>
          <w:sz w:val="28"/>
          <w:szCs w:val="28"/>
          <w:highlight w:val="none"/>
          <w:u w:val="none"/>
          <w:lang w:eastAsia="zh-CN"/>
        </w:rPr>
        <w:t>（具体名称以实际为准，下同），</w:t>
      </w:r>
      <w:r>
        <w:rPr>
          <w:rFonts w:hint="eastAsia" w:ascii="仿宋" w:hAnsi="仿宋" w:eastAsia="仿宋" w:cs="仿宋"/>
          <w:b w:val="0"/>
          <w:bCs w:val="0"/>
          <w:color w:val="auto"/>
          <w:sz w:val="28"/>
          <w:szCs w:val="28"/>
          <w:highlight w:val="none"/>
          <w:u w:val="none"/>
          <w:lang w:val="en-US" w:eastAsia="zh-CN"/>
        </w:rPr>
        <w:t>乙方</w:t>
      </w:r>
      <w:r>
        <w:rPr>
          <w:rFonts w:hint="eastAsia" w:ascii="仿宋" w:hAnsi="仿宋" w:eastAsia="仿宋" w:cs="仿宋"/>
          <w:b w:val="0"/>
          <w:bCs w:val="0"/>
          <w:color w:val="auto"/>
          <w:sz w:val="28"/>
          <w:szCs w:val="28"/>
          <w:highlight w:val="none"/>
          <w:u w:val="none"/>
          <w:lang w:eastAsia="zh-CN"/>
        </w:rPr>
        <w:t>提供</w:t>
      </w:r>
      <w:r>
        <w:rPr>
          <w:rFonts w:hint="eastAsia" w:ascii="仿宋" w:hAnsi="仿宋" w:eastAsia="仿宋" w:cs="仿宋"/>
          <w:b w:val="0"/>
          <w:bCs w:val="0"/>
          <w:color w:val="auto"/>
          <w:sz w:val="28"/>
          <w:szCs w:val="28"/>
          <w:highlight w:val="none"/>
          <w:u w:val="none"/>
          <w:lang w:val="en-US" w:eastAsia="zh-CN"/>
        </w:rPr>
        <w:t>处置咨询解答以及开展抵押房产处置营销获客服务工作。</w:t>
      </w:r>
    </w:p>
    <w:p w14:paraId="4088F6DE">
      <w:pPr>
        <w:pStyle w:val="8"/>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outlineLvl w:val="9"/>
        <w:rPr>
          <w:rFonts w:hint="eastAsia" w:ascii="黑体" w:hAnsi="黑体" w:eastAsia="黑体" w:cs="黑体"/>
          <w:b w:val="0"/>
          <w:bCs w:val="0"/>
          <w:color w:val="auto"/>
          <w:sz w:val="28"/>
          <w:szCs w:val="28"/>
          <w:highlight w:val="none"/>
          <w:u w:val="none"/>
          <w:lang w:eastAsia="zh-CN"/>
        </w:rPr>
      </w:pPr>
      <w:r>
        <w:rPr>
          <w:rFonts w:hint="eastAsia" w:ascii="黑体" w:hAnsi="黑体" w:eastAsia="黑体" w:cs="黑体"/>
          <w:b w:val="0"/>
          <w:bCs w:val="0"/>
          <w:color w:val="auto"/>
          <w:sz w:val="28"/>
          <w:szCs w:val="28"/>
          <w:highlight w:val="none"/>
          <w:u w:val="none"/>
          <w:lang w:val="en-US" w:eastAsia="zh-CN"/>
        </w:rPr>
        <w:t xml:space="preserve"> 第二条 甲方</w:t>
      </w:r>
      <w:r>
        <w:rPr>
          <w:rFonts w:hint="eastAsia" w:ascii="黑体" w:hAnsi="黑体" w:eastAsia="黑体" w:cs="黑体"/>
          <w:b w:val="0"/>
          <w:bCs w:val="0"/>
          <w:color w:val="auto"/>
          <w:sz w:val="28"/>
          <w:szCs w:val="28"/>
          <w:highlight w:val="none"/>
          <w:u w:val="none"/>
          <w:lang w:eastAsia="zh-CN"/>
        </w:rPr>
        <w:t>的权利和义务</w:t>
      </w:r>
    </w:p>
    <w:p w14:paraId="67508626">
      <w:pPr>
        <w:pStyle w:val="8"/>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0" w:firstLineChars="0"/>
        <w:textAlignment w:val="auto"/>
        <w:outlineLvl w:val="9"/>
        <w:rPr>
          <w:rFonts w:hint="eastAsia" w:ascii="仿宋" w:hAnsi="仿宋" w:eastAsia="仿宋" w:cs="仿宋"/>
          <w:b w:val="0"/>
          <w:bCs w:val="0"/>
          <w:strike/>
          <w:dstrike w:val="0"/>
          <w:color w:val="auto"/>
          <w:sz w:val="28"/>
          <w:szCs w:val="28"/>
          <w:highlight w:val="none"/>
          <w:u w:val="none"/>
          <w:lang w:eastAsia="zh-CN"/>
        </w:rPr>
      </w:pPr>
      <w:r>
        <w:rPr>
          <w:rFonts w:hint="eastAsia" w:ascii="楷体_GB2312" w:hAnsi="楷体_GB2312" w:eastAsia="楷体_GB2312" w:cs="楷体_GB2312"/>
          <w:b/>
          <w:bCs/>
          <w:color w:val="auto"/>
          <w:sz w:val="28"/>
          <w:szCs w:val="28"/>
          <w:highlight w:val="none"/>
          <w:u w:val="none"/>
          <w:lang w:eastAsia="zh-CN"/>
        </w:rPr>
        <w:t xml:space="preserve">   （一）权利。</w:t>
      </w:r>
      <w:r>
        <w:rPr>
          <w:rFonts w:hint="eastAsia" w:ascii="仿宋" w:hAnsi="仿宋" w:eastAsia="仿宋" w:cs="仿宋"/>
          <w:b w:val="0"/>
          <w:bCs w:val="0"/>
          <w:color w:val="auto"/>
          <w:sz w:val="28"/>
          <w:szCs w:val="28"/>
          <w:highlight w:val="none"/>
          <w:u w:val="none"/>
          <w:lang w:eastAsia="zh-CN"/>
        </w:rPr>
        <w:t>对乙方贷后管理服务</w:t>
      </w:r>
      <w:r>
        <w:rPr>
          <w:rFonts w:hint="eastAsia" w:ascii="仿宋" w:hAnsi="仿宋" w:eastAsia="仿宋" w:cs="仿宋"/>
          <w:b w:val="0"/>
          <w:bCs w:val="0"/>
          <w:color w:val="auto"/>
          <w:sz w:val="28"/>
          <w:szCs w:val="28"/>
          <w:highlight w:val="none"/>
          <w:u w:val="none"/>
          <w:lang w:val="en-US" w:eastAsia="zh-CN"/>
        </w:rPr>
        <w:t>提出工作要求和进行监督。</w:t>
      </w:r>
      <w:r>
        <w:rPr>
          <w:rFonts w:hint="eastAsia" w:ascii="仿宋" w:hAnsi="仿宋" w:eastAsia="仿宋" w:cs="仿宋"/>
          <w:b w:val="0"/>
          <w:bCs w:val="0"/>
          <w:strike w:val="0"/>
          <w:dstrike w:val="0"/>
          <w:color w:val="auto"/>
          <w:kern w:val="2"/>
          <w:sz w:val="28"/>
          <w:szCs w:val="28"/>
          <w:highlight w:val="none"/>
          <w:u w:val="none"/>
          <w:lang w:val="en-US" w:eastAsia="zh-CN" w:bidi="ar-SA"/>
        </w:rPr>
        <w:t>当甲方逾期率</w:t>
      </w:r>
      <w:r>
        <w:rPr>
          <w:rFonts w:hint="default" w:ascii="仿宋" w:hAnsi="仿宋" w:eastAsia="仿宋" w:cs="仿宋"/>
          <w:b w:val="0"/>
          <w:bCs w:val="0"/>
          <w:strike w:val="0"/>
          <w:dstrike w:val="0"/>
          <w:color w:val="auto"/>
          <w:kern w:val="2"/>
          <w:sz w:val="28"/>
          <w:szCs w:val="28"/>
          <w:highlight w:val="none"/>
          <w:u w:val="none"/>
          <w:lang w:val="en-US" w:eastAsia="zh-CN" w:bidi="ar-SA"/>
        </w:rPr>
        <w:t>高于</w:t>
      </w:r>
      <w:r>
        <w:rPr>
          <w:rFonts w:hint="eastAsia" w:ascii="仿宋" w:hAnsi="仿宋" w:eastAsia="仿宋" w:cs="仿宋"/>
          <w:b w:val="0"/>
          <w:bCs w:val="0"/>
          <w:strike w:val="0"/>
          <w:dstrike w:val="0"/>
          <w:color w:val="auto"/>
          <w:kern w:val="2"/>
          <w:sz w:val="28"/>
          <w:szCs w:val="28"/>
          <w:highlight w:val="none"/>
          <w:u w:val="none"/>
          <w:lang w:val="en-US" w:eastAsia="zh-CN" w:bidi="ar-SA"/>
        </w:rPr>
        <w:t>0.24</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含</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strike w:val="0"/>
          <w:dstrike w:val="0"/>
          <w:color w:val="auto"/>
          <w:kern w:val="2"/>
          <w:sz w:val="28"/>
          <w:szCs w:val="28"/>
          <w:highlight w:val="none"/>
          <w:u w:val="none"/>
          <w:lang w:val="en-US" w:eastAsia="zh-CN" w:bidi="ar-SA"/>
        </w:rPr>
        <w:t>的</w:t>
      </w:r>
      <w:r>
        <w:rPr>
          <w:rFonts w:hint="default" w:ascii="仿宋" w:hAnsi="仿宋" w:eastAsia="仿宋" w:cs="仿宋"/>
          <w:b w:val="0"/>
          <w:bCs w:val="0"/>
          <w:strike w:val="0"/>
          <w:dstrike w:val="0"/>
          <w:color w:val="auto"/>
          <w:kern w:val="2"/>
          <w:sz w:val="28"/>
          <w:szCs w:val="28"/>
          <w:highlight w:val="none"/>
          <w:u w:val="none"/>
          <w:lang w:val="en-US" w:eastAsia="zh-CN" w:bidi="ar-SA"/>
        </w:rPr>
        <w:t>，甲方有权要求乙方启动本协议项下贷后管理服务，由乙方提供</w:t>
      </w:r>
      <w:r>
        <w:rPr>
          <w:rFonts w:hint="eastAsia" w:ascii="仿宋" w:hAnsi="仿宋" w:eastAsia="仿宋" w:cs="仿宋"/>
          <w:b w:val="0"/>
          <w:bCs w:val="0"/>
          <w:strike w:val="0"/>
          <w:dstrike w:val="0"/>
          <w:color w:val="auto"/>
          <w:kern w:val="2"/>
          <w:sz w:val="28"/>
          <w:szCs w:val="28"/>
          <w:highlight w:val="none"/>
          <w:u w:val="none"/>
          <w:lang w:val="en-US" w:eastAsia="zh-CN" w:bidi="ar-SA"/>
        </w:rPr>
        <w:t>协议</w:t>
      </w:r>
      <w:r>
        <w:rPr>
          <w:rFonts w:hint="default" w:ascii="仿宋" w:hAnsi="仿宋" w:eastAsia="仿宋" w:cs="仿宋"/>
          <w:b w:val="0"/>
          <w:bCs w:val="0"/>
          <w:strike w:val="0"/>
          <w:dstrike w:val="0"/>
          <w:color w:val="auto"/>
          <w:kern w:val="2"/>
          <w:sz w:val="28"/>
          <w:szCs w:val="28"/>
          <w:highlight w:val="none"/>
          <w:u w:val="none"/>
          <w:lang w:val="en-US" w:eastAsia="zh-CN" w:bidi="ar-SA"/>
        </w:rPr>
        <w:t>约定的服务</w:t>
      </w:r>
      <w:r>
        <w:rPr>
          <w:rFonts w:hint="eastAsia" w:ascii="仿宋" w:hAnsi="仿宋" w:eastAsia="仿宋" w:cs="仿宋"/>
          <w:b w:val="0"/>
          <w:bCs w:val="0"/>
          <w:strike w:val="0"/>
          <w:dstrike w:val="0"/>
          <w:color w:val="auto"/>
          <w:kern w:val="2"/>
          <w:sz w:val="28"/>
          <w:szCs w:val="28"/>
          <w:highlight w:val="none"/>
          <w:u w:val="none"/>
          <w:lang w:val="en-US" w:eastAsia="zh-CN" w:bidi="ar-SA"/>
        </w:rPr>
        <w:t>。当乙方未能协助甲方完成贷后管理目标时，甲方有权相应锁定乙方缴纳的履约金</w:t>
      </w:r>
      <w:r>
        <w:rPr>
          <w:rFonts w:hint="eastAsia" w:ascii="仿宋" w:hAnsi="仿宋" w:eastAsia="仿宋" w:cs="仿宋"/>
          <w:b w:val="0"/>
          <w:bCs w:val="0"/>
          <w:color w:val="auto"/>
          <w:sz w:val="28"/>
          <w:szCs w:val="28"/>
          <w:highlight w:val="none"/>
          <w:u w:val="none"/>
          <w:lang w:val="en-US" w:eastAsia="zh-CN"/>
        </w:rPr>
        <w:t>。</w:t>
      </w:r>
    </w:p>
    <w:p w14:paraId="09025044">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outlineLvl w:val="9"/>
        <w:rPr>
          <w:rFonts w:hint="eastAsia" w:ascii="仿宋" w:hAnsi="仿宋" w:eastAsia="仿宋" w:cs="仿宋"/>
          <w:b w:val="0"/>
          <w:bCs w:val="0"/>
          <w:color w:val="auto"/>
          <w:sz w:val="28"/>
          <w:szCs w:val="28"/>
          <w:highlight w:val="none"/>
          <w:u w:val="none"/>
          <w:lang w:eastAsia="zh-CN"/>
        </w:rPr>
      </w:pPr>
      <w:r>
        <w:rPr>
          <w:rFonts w:hint="eastAsia" w:ascii="黑体" w:hAnsi="黑体" w:eastAsia="黑体" w:cs="黑体"/>
          <w:b w:val="0"/>
          <w:bCs w:val="0"/>
          <w:color w:val="auto"/>
          <w:sz w:val="28"/>
          <w:szCs w:val="28"/>
          <w:highlight w:val="none"/>
          <w:u w:val="none"/>
          <w:lang w:eastAsia="zh-CN"/>
        </w:rPr>
        <w:t xml:space="preserve">   </w:t>
      </w:r>
      <w:r>
        <w:rPr>
          <w:rFonts w:hint="eastAsia" w:ascii="楷体_GB2312" w:hAnsi="楷体_GB2312" w:eastAsia="楷体_GB2312" w:cs="楷体_GB2312"/>
          <w:b/>
          <w:bCs/>
          <w:color w:val="auto"/>
          <w:sz w:val="28"/>
          <w:szCs w:val="28"/>
          <w:highlight w:val="none"/>
          <w:u w:val="none"/>
          <w:lang w:eastAsia="zh-CN"/>
        </w:rPr>
        <w:t>（二）义务。</w:t>
      </w:r>
      <w:r>
        <w:rPr>
          <w:rFonts w:hint="eastAsia" w:ascii="仿宋" w:hAnsi="仿宋" w:eastAsia="仿宋" w:cs="仿宋"/>
          <w:b w:val="0"/>
          <w:bCs w:val="0"/>
          <w:color w:val="auto"/>
          <w:sz w:val="28"/>
          <w:szCs w:val="28"/>
          <w:highlight w:val="none"/>
          <w:u w:val="none"/>
          <w:lang w:eastAsia="zh-CN"/>
        </w:rPr>
        <w:t>向乙方提供</w:t>
      </w:r>
      <w:r>
        <w:rPr>
          <w:rFonts w:hint="eastAsia" w:ascii="仿宋" w:hAnsi="仿宋" w:eastAsia="仿宋" w:cs="仿宋"/>
          <w:b w:val="0"/>
          <w:bCs w:val="0"/>
          <w:color w:val="auto"/>
          <w:sz w:val="28"/>
          <w:szCs w:val="28"/>
          <w:highlight w:val="none"/>
          <w:u w:val="none"/>
          <w:lang w:val="en-US" w:eastAsia="zh-CN"/>
        </w:rPr>
        <w:t>住房公积金贷款</w:t>
      </w:r>
      <w:r>
        <w:rPr>
          <w:rFonts w:hint="eastAsia" w:ascii="仿宋" w:hAnsi="仿宋" w:eastAsia="仿宋" w:cs="仿宋"/>
          <w:b w:val="0"/>
          <w:bCs w:val="0"/>
          <w:color w:val="auto"/>
          <w:sz w:val="28"/>
          <w:szCs w:val="28"/>
          <w:highlight w:val="none"/>
          <w:u w:val="none"/>
          <w:lang w:eastAsia="zh-CN"/>
        </w:rPr>
        <w:t>逾期清单、逾期贷款处置清单等</w:t>
      </w:r>
      <w:r>
        <w:rPr>
          <w:rFonts w:hint="eastAsia" w:ascii="仿宋" w:hAnsi="仿宋" w:eastAsia="仿宋" w:cs="仿宋"/>
          <w:b w:val="0"/>
          <w:bCs w:val="0"/>
          <w:color w:val="auto"/>
          <w:kern w:val="2"/>
          <w:sz w:val="28"/>
          <w:szCs w:val="28"/>
          <w:highlight w:val="none"/>
          <w:u w:val="none"/>
          <w:lang w:val="en-US" w:eastAsia="zh-CN" w:bidi="ar-SA"/>
        </w:rPr>
        <w:t>逾期贷款处置相关</w:t>
      </w:r>
      <w:r>
        <w:rPr>
          <w:rFonts w:hint="eastAsia" w:ascii="仿宋" w:hAnsi="仿宋" w:eastAsia="仿宋" w:cs="仿宋"/>
          <w:b w:val="0"/>
          <w:bCs w:val="0"/>
          <w:color w:val="auto"/>
          <w:sz w:val="28"/>
          <w:szCs w:val="28"/>
          <w:highlight w:val="none"/>
          <w:u w:val="none"/>
          <w:lang w:eastAsia="zh-CN"/>
        </w:rPr>
        <w:t>材料，联合</w:t>
      </w:r>
      <w:r>
        <w:rPr>
          <w:rFonts w:hint="eastAsia" w:ascii="仿宋" w:hAnsi="仿宋" w:eastAsia="仿宋" w:cs="仿宋"/>
          <w:b w:val="0"/>
          <w:bCs w:val="0"/>
          <w:color w:val="auto"/>
          <w:sz w:val="28"/>
          <w:szCs w:val="28"/>
          <w:highlight w:val="none"/>
          <w:u w:val="none"/>
          <w:lang w:eastAsia="zh-CN"/>
        </w:rPr>
        <w:t>乙方向住房公积金逾期借款人进行催收、追偿工作。</w:t>
      </w:r>
    </w:p>
    <w:p w14:paraId="07EEB983">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outlineLvl w:val="9"/>
        <w:rPr>
          <w:rFonts w:hint="eastAsia" w:ascii="黑体" w:hAnsi="黑体" w:eastAsia="黑体" w:cs="黑体"/>
          <w:b w:val="0"/>
          <w:bCs w:val="0"/>
          <w:color w:val="auto"/>
          <w:sz w:val="28"/>
          <w:szCs w:val="28"/>
          <w:highlight w:val="none"/>
          <w:u w:val="none"/>
          <w:lang w:eastAsia="zh-CN"/>
        </w:rPr>
      </w:pPr>
      <w:r>
        <w:rPr>
          <w:rFonts w:hint="eastAsia" w:ascii="黑体" w:hAnsi="黑体" w:eastAsia="黑体" w:cs="黑体"/>
          <w:b w:val="0"/>
          <w:bCs w:val="0"/>
          <w:color w:val="auto"/>
          <w:sz w:val="28"/>
          <w:szCs w:val="28"/>
          <w:highlight w:val="none"/>
          <w:u w:val="none"/>
          <w:lang w:eastAsia="zh-CN"/>
        </w:rPr>
        <w:t>第</w:t>
      </w:r>
      <w:r>
        <w:rPr>
          <w:rFonts w:hint="eastAsia" w:ascii="黑体" w:hAnsi="黑体" w:eastAsia="黑体" w:cs="黑体"/>
          <w:b w:val="0"/>
          <w:bCs w:val="0"/>
          <w:color w:val="auto"/>
          <w:sz w:val="28"/>
          <w:szCs w:val="28"/>
          <w:highlight w:val="none"/>
          <w:u w:val="none"/>
          <w:lang w:val="en-US" w:eastAsia="zh-CN"/>
        </w:rPr>
        <w:t>三</w:t>
      </w:r>
      <w:r>
        <w:rPr>
          <w:rFonts w:hint="eastAsia" w:ascii="黑体" w:hAnsi="黑体" w:eastAsia="黑体" w:cs="黑体"/>
          <w:b w:val="0"/>
          <w:bCs w:val="0"/>
          <w:color w:val="auto"/>
          <w:sz w:val="28"/>
          <w:szCs w:val="28"/>
          <w:highlight w:val="none"/>
          <w:u w:val="none"/>
          <w:lang w:eastAsia="zh-CN"/>
        </w:rPr>
        <w:t xml:space="preserve">条 </w:t>
      </w:r>
      <w:r>
        <w:rPr>
          <w:rFonts w:hint="eastAsia" w:ascii="黑体" w:hAnsi="黑体" w:eastAsia="黑体" w:cs="黑体"/>
          <w:b w:val="0"/>
          <w:bCs w:val="0"/>
          <w:color w:val="auto"/>
          <w:sz w:val="28"/>
          <w:szCs w:val="28"/>
          <w:highlight w:val="none"/>
          <w:u w:val="none"/>
          <w:lang w:val="en-US" w:eastAsia="zh-CN"/>
        </w:rPr>
        <w:t>乙方</w:t>
      </w:r>
      <w:r>
        <w:rPr>
          <w:rFonts w:hint="eastAsia" w:ascii="黑体" w:hAnsi="黑体" w:eastAsia="黑体" w:cs="黑体"/>
          <w:b w:val="0"/>
          <w:bCs w:val="0"/>
          <w:color w:val="auto"/>
          <w:sz w:val="28"/>
          <w:szCs w:val="28"/>
          <w:highlight w:val="none"/>
          <w:u w:val="none"/>
          <w:lang w:eastAsia="zh-CN"/>
        </w:rPr>
        <w:t>的权利和义务</w:t>
      </w:r>
    </w:p>
    <w:p w14:paraId="52FDEAA3">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outlineLvl w:val="9"/>
        <w:rPr>
          <w:rFonts w:hint="eastAsia" w:ascii="仿宋" w:hAnsi="仿宋" w:eastAsia="仿宋" w:cs="仿宋"/>
          <w:b w:val="0"/>
          <w:bCs w:val="0"/>
          <w:color w:val="auto"/>
          <w:sz w:val="28"/>
          <w:szCs w:val="28"/>
          <w:highlight w:val="none"/>
          <w:u w:val="none"/>
          <w:lang w:val="en-US" w:eastAsia="zh-CN"/>
        </w:rPr>
      </w:pPr>
      <w:r>
        <w:rPr>
          <w:rFonts w:hint="eastAsia" w:ascii="楷体_GB2312" w:hAnsi="楷体_GB2312" w:eastAsia="楷体_GB2312" w:cs="楷体_GB2312"/>
          <w:b/>
          <w:bCs/>
          <w:color w:val="auto"/>
          <w:sz w:val="28"/>
          <w:szCs w:val="28"/>
          <w:highlight w:val="none"/>
          <w:u w:val="none"/>
          <w:lang w:eastAsia="zh-CN"/>
        </w:rPr>
        <w:t xml:space="preserve">   （</w:t>
      </w:r>
      <w:r>
        <w:rPr>
          <w:rFonts w:hint="eastAsia" w:ascii="楷体_GB2312" w:hAnsi="楷体_GB2312" w:eastAsia="楷体_GB2312" w:cs="楷体_GB2312"/>
          <w:b/>
          <w:bCs/>
          <w:color w:val="auto"/>
          <w:sz w:val="28"/>
          <w:szCs w:val="28"/>
          <w:highlight w:val="none"/>
          <w:u w:val="none"/>
          <w:lang w:val="en-US" w:eastAsia="zh-CN"/>
        </w:rPr>
        <w:t>一</w:t>
      </w:r>
      <w:r>
        <w:rPr>
          <w:rFonts w:hint="eastAsia" w:ascii="楷体_GB2312" w:hAnsi="楷体_GB2312" w:eastAsia="楷体_GB2312" w:cs="楷体_GB2312"/>
          <w:b/>
          <w:bCs/>
          <w:color w:val="auto"/>
          <w:sz w:val="28"/>
          <w:szCs w:val="28"/>
          <w:highlight w:val="none"/>
          <w:u w:val="none"/>
          <w:lang w:eastAsia="zh-CN"/>
        </w:rPr>
        <w:t>）权利。</w:t>
      </w:r>
      <w:r>
        <w:rPr>
          <w:rFonts w:hint="eastAsia" w:ascii="楷体_GB2312" w:hAnsi="楷体_GB2312" w:eastAsia="楷体_GB2312" w:cs="楷体_GB2312"/>
          <w:b w:val="0"/>
          <w:bCs w:val="0"/>
          <w:color w:val="auto"/>
          <w:sz w:val="28"/>
          <w:szCs w:val="28"/>
          <w:highlight w:val="none"/>
          <w:u w:val="none"/>
          <w:lang w:eastAsia="zh-CN"/>
        </w:rPr>
        <w:t>向</w:t>
      </w:r>
      <w:r>
        <w:rPr>
          <w:rFonts w:hint="eastAsia" w:ascii="仿宋" w:hAnsi="仿宋" w:eastAsia="仿宋" w:cs="仿宋"/>
          <w:b w:val="0"/>
          <w:bCs w:val="0"/>
          <w:color w:val="auto"/>
          <w:sz w:val="28"/>
          <w:szCs w:val="28"/>
          <w:highlight w:val="none"/>
          <w:u w:val="none"/>
          <w:lang w:val="en-US" w:eastAsia="zh-CN"/>
        </w:rPr>
        <w:t>甲</w:t>
      </w:r>
      <w:r>
        <w:rPr>
          <w:rFonts w:hint="eastAsia" w:ascii="仿宋" w:hAnsi="仿宋" w:eastAsia="仿宋" w:cs="仿宋"/>
          <w:b w:val="0"/>
          <w:bCs w:val="0"/>
          <w:color w:val="auto"/>
          <w:sz w:val="28"/>
          <w:szCs w:val="28"/>
          <w:highlight w:val="none"/>
          <w:u w:val="none"/>
          <w:lang w:eastAsia="zh-CN"/>
        </w:rPr>
        <w:t>方提供</w:t>
      </w:r>
      <w:r>
        <w:rPr>
          <w:rFonts w:hint="eastAsia" w:ascii="仿宋" w:hAnsi="仿宋" w:eastAsia="仿宋" w:cs="仿宋"/>
          <w:b w:val="0"/>
          <w:bCs w:val="0"/>
          <w:color w:val="auto"/>
          <w:sz w:val="28"/>
          <w:szCs w:val="28"/>
          <w:highlight w:val="none"/>
          <w:u w:val="none"/>
          <w:lang w:val="en-US" w:eastAsia="zh-CN"/>
        </w:rPr>
        <w:t>逾期贷款催收、债权处置咨询及资产处置营销获客服务等工作，收取贷后管理服务费用。</w:t>
      </w:r>
    </w:p>
    <w:p w14:paraId="67A2F130">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outlineLvl w:val="9"/>
        <w:rPr>
          <w:rFonts w:hint="eastAsia" w:ascii="仿宋" w:hAnsi="仿宋" w:eastAsia="仿宋" w:cs="仿宋"/>
          <w:b w:val="0"/>
          <w:bCs w:val="0"/>
          <w:color w:val="auto"/>
          <w:sz w:val="28"/>
          <w:szCs w:val="28"/>
          <w:highlight w:val="none"/>
          <w:u w:val="none"/>
          <w:lang w:val="en-US" w:eastAsia="zh-CN"/>
        </w:rPr>
      </w:pPr>
      <w:r>
        <w:rPr>
          <w:rFonts w:hint="eastAsia" w:ascii="楷体_GB2312" w:hAnsi="楷体_GB2312" w:eastAsia="楷体_GB2312" w:cs="楷体_GB2312"/>
          <w:b/>
          <w:bCs/>
          <w:color w:val="auto"/>
          <w:sz w:val="28"/>
          <w:szCs w:val="28"/>
          <w:highlight w:val="none"/>
          <w:u w:val="none"/>
          <w:lang w:eastAsia="zh-CN"/>
        </w:rPr>
        <w:t xml:space="preserve">   （</w:t>
      </w:r>
      <w:r>
        <w:rPr>
          <w:rFonts w:hint="eastAsia" w:ascii="楷体_GB2312" w:hAnsi="楷体_GB2312" w:eastAsia="楷体_GB2312" w:cs="楷体_GB2312"/>
          <w:b/>
          <w:bCs/>
          <w:color w:val="auto"/>
          <w:sz w:val="28"/>
          <w:szCs w:val="28"/>
          <w:highlight w:val="none"/>
          <w:u w:val="none"/>
          <w:lang w:val="en-US" w:eastAsia="zh-CN"/>
        </w:rPr>
        <w:t>二</w:t>
      </w:r>
      <w:r>
        <w:rPr>
          <w:rFonts w:hint="eastAsia" w:ascii="楷体_GB2312" w:hAnsi="楷体_GB2312" w:eastAsia="楷体_GB2312" w:cs="楷体_GB2312"/>
          <w:b/>
          <w:bCs/>
          <w:color w:val="auto"/>
          <w:sz w:val="28"/>
          <w:szCs w:val="28"/>
          <w:highlight w:val="none"/>
          <w:u w:val="none"/>
          <w:lang w:eastAsia="zh-CN"/>
        </w:rPr>
        <w:t>）义务。</w:t>
      </w:r>
      <w:r>
        <w:rPr>
          <w:rFonts w:hint="eastAsia" w:ascii="仿宋" w:hAnsi="仿宋" w:eastAsia="仿宋" w:cs="仿宋"/>
          <w:b w:val="0"/>
          <w:bCs w:val="0"/>
          <w:color w:val="auto"/>
          <w:kern w:val="2"/>
          <w:sz w:val="28"/>
          <w:szCs w:val="28"/>
          <w:highlight w:val="none"/>
          <w:u w:val="none"/>
          <w:lang w:val="en-US" w:eastAsia="zh-CN" w:bidi="ar-SA"/>
        </w:rPr>
        <w:t>根据本协议第一条委托服务事项，</w:t>
      </w:r>
      <w:r>
        <w:rPr>
          <w:rFonts w:hint="eastAsia" w:ascii="仿宋" w:hAnsi="仿宋" w:eastAsia="仿宋" w:cs="仿宋"/>
          <w:b w:val="0"/>
          <w:bCs w:val="0"/>
          <w:color w:val="auto"/>
          <w:sz w:val="28"/>
          <w:szCs w:val="28"/>
          <w:highlight w:val="none"/>
          <w:u w:val="none"/>
          <w:lang w:eastAsia="zh-CN"/>
        </w:rPr>
        <w:t>向甲方提</w:t>
      </w:r>
      <w:r>
        <w:rPr>
          <w:rFonts w:hint="eastAsia" w:ascii="仿宋" w:hAnsi="仿宋" w:eastAsia="仿宋" w:cs="仿宋"/>
          <w:b w:val="0"/>
          <w:bCs w:val="0"/>
          <w:color w:val="auto"/>
          <w:sz w:val="28"/>
          <w:szCs w:val="28"/>
          <w:highlight w:val="none"/>
          <w:u w:val="none"/>
          <w:lang w:val="en-US" w:eastAsia="zh-CN"/>
        </w:rPr>
        <w:t>供</w:t>
      </w:r>
      <w:r>
        <w:rPr>
          <w:rFonts w:hint="eastAsia" w:ascii="仿宋" w:hAnsi="仿宋" w:eastAsia="仿宋" w:cs="仿宋"/>
          <w:b w:val="0"/>
          <w:bCs w:val="0"/>
          <w:color w:val="auto"/>
          <w:sz w:val="28"/>
          <w:szCs w:val="28"/>
          <w:highlight w:val="none"/>
          <w:u w:val="none"/>
          <w:lang w:eastAsia="zh-CN"/>
        </w:rPr>
        <w:t>贷后管理服务，并接受甲方的监督。</w:t>
      </w:r>
      <w:r>
        <w:rPr>
          <w:rFonts w:hint="eastAsia" w:ascii="仿宋" w:hAnsi="仿宋" w:eastAsia="仿宋" w:cs="仿宋"/>
          <w:b w:val="0"/>
          <w:bCs w:val="0"/>
          <w:color w:val="auto"/>
          <w:sz w:val="28"/>
          <w:szCs w:val="28"/>
          <w:highlight w:val="none"/>
          <w:u w:val="none"/>
          <w:lang w:val="en-US" w:eastAsia="zh-CN"/>
        </w:rPr>
        <w:t>如乙方未能</w:t>
      </w:r>
      <w:r>
        <w:rPr>
          <w:rFonts w:hint="eastAsia" w:ascii="仿宋" w:hAnsi="仿宋" w:eastAsia="仿宋" w:cs="仿宋"/>
          <w:b w:val="0"/>
          <w:bCs w:val="0"/>
          <w:strike w:val="0"/>
          <w:dstrike w:val="0"/>
          <w:color w:val="auto"/>
          <w:kern w:val="2"/>
          <w:sz w:val="28"/>
          <w:szCs w:val="28"/>
          <w:highlight w:val="none"/>
          <w:u w:val="none"/>
          <w:lang w:val="en-US" w:eastAsia="zh-CN" w:bidi="ar-SA"/>
        </w:rPr>
        <w:t>协助甲方完成贷后管理目标[</w:t>
      </w:r>
      <w:r>
        <w:rPr>
          <w:rFonts w:hint="eastAsia" w:ascii="仿宋" w:hAnsi="仿宋" w:eastAsia="仿宋" w:cs="仿宋"/>
          <w:b w:val="0"/>
          <w:bCs w:val="0"/>
          <w:color w:val="auto"/>
          <w:kern w:val="2"/>
          <w:sz w:val="28"/>
          <w:szCs w:val="28"/>
          <w:highlight w:val="none"/>
          <w:u w:val="none"/>
          <w:lang w:val="en-US" w:eastAsia="zh-CN" w:bidi="ar-SA"/>
        </w:rPr>
        <w:t>逾期率低于0.24</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（不含本数）以下]</w:t>
      </w:r>
      <w:r>
        <w:rPr>
          <w:rFonts w:hint="eastAsia" w:ascii="仿宋" w:hAnsi="仿宋" w:eastAsia="仿宋" w:cs="仿宋"/>
          <w:b w:val="0"/>
          <w:bCs w:val="0"/>
          <w:strike w:val="0"/>
          <w:dstrike w:val="0"/>
          <w:color w:val="auto"/>
          <w:kern w:val="2"/>
          <w:sz w:val="28"/>
          <w:szCs w:val="28"/>
          <w:highlight w:val="none"/>
          <w:u w:val="none"/>
          <w:lang w:val="en-US" w:eastAsia="zh-CN" w:bidi="ar-SA"/>
        </w:rPr>
        <w:t>时，甲方相应锁定乙方</w:t>
      </w:r>
      <w:r>
        <w:rPr>
          <w:rFonts w:hint="eastAsia" w:ascii="仿宋" w:hAnsi="仿宋" w:eastAsia="仿宋" w:cs="仿宋"/>
          <w:b w:val="0"/>
          <w:bCs w:val="0"/>
          <w:color w:val="auto"/>
          <w:kern w:val="2"/>
          <w:sz w:val="28"/>
          <w:szCs w:val="28"/>
          <w:highlight w:val="none"/>
          <w:u w:val="none"/>
          <w:lang w:val="en-US" w:eastAsia="zh-CN" w:bidi="ar-SA"/>
        </w:rPr>
        <w:t>缴纳的履约金。</w:t>
      </w:r>
    </w:p>
    <w:p w14:paraId="24735F9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eastAsia" w:ascii="黑体" w:hAnsi="黑体" w:eastAsia="黑体" w:cs="黑体"/>
          <w:b w:val="0"/>
          <w:bCs w:val="0"/>
          <w:color w:val="auto"/>
          <w:sz w:val="28"/>
          <w:szCs w:val="28"/>
          <w:highlight w:val="none"/>
          <w:u w:val="none"/>
          <w:lang w:eastAsia="zh-CN"/>
        </w:rPr>
      </w:pPr>
      <w:r>
        <w:rPr>
          <w:rFonts w:hint="eastAsia" w:ascii="黑体" w:hAnsi="黑体" w:eastAsia="黑体" w:cs="黑体"/>
          <w:b w:val="0"/>
          <w:bCs w:val="0"/>
          <w:color w:val="auto"/>
          <w:sz w:val="28"/>
          <w:szCs w:val="28"/>
          <w:highlight w:val="none"/>
          <w:u w:val="none"/>
          <w:lang w:eastAsia="zh-CN"/>
        </w:rPr>
        <w:t xml:space="preserve">    第</w:t>
      </w:r>
      <w:r>
        <w:rPr>
          <w:rFonts w:hint="eastAsia" w:ascii="黑体" w:hAnsi="黑体" w:eastAsia="黑体" w:cs="黑体"/>
          <w:b w:val="0"/>
          <w:bCs w:val="0"/>
          <w:color w:val="auto"/>
          <w:sz w:val="28"/>
          <w:szCs w:val="28"/>
          <w:highlight w:val="none"/>
          <w:u w:val="none"/>
          <w:lang w:val="en-US" w:eastAsia="zh-CN"/>
        </w:rPr>
        <w:t>四</w:t>
      </w:r>
      <w:r>
        <w:rPr>
          <w:rFonts w:hint="eastAsia" w:ascii="黑体" w:hAnsi="黑体" w:eastAsia="黑体" w:cs="黑体"/>
          <w:b w:val="0"/>
          <w:bCs w:val="0"/>
          <w:color w:val="auto"/>
          <w:sz w:val="28"/>
          <w:szCs w:val="28"/>
          <w:highlight w:val="none"/>
          <w:u w:val="none"/>
          <w:lang w:eastAsia="zh-CN"/>
        </w:rPr>
        <w:t>条 履约金</w:t>
      </w:r>
    </w:p>
    <w:p w14:paraId="61223C5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default" w:ascii="仿宋" w:hAnsi="仿宋" w:eastAsia="仿宋" w:cs="仿宋"/>
          <w:b w:val="0"/>
          <w:bCs w:val="0"/>
          <w:color w:val="auto"/>
          <w:kern w:val="2"/>
          <w:sz w:val="28"/>
          <w:szCs w:val="28"/>
          <w:highlight w:val="none"/>
          <w:u w:val="none"/>
          <w:lang w:val="en-US" w:eastAsia="zh-CN" w:bidi="ar-SA"/>
        </w:rPr>
      </w:pPr>
      <w:r>
        <w:rPr>
          <w:rFonts w:hint="eastAsia" w:ascii="黑体" w:hAnsi="黑体" w:eastAsia="黑体" w:cs="黑体"/>
          <w:b w:val="0"/>
          <w:bCs w:val="0"/>
          <w:color w:val="auto"/>
          <w:sz w:val="28"/>
          <w:szCs w:val="28"/>
          <w:highlight w:val="none"/>
          <w:u w:val="none"/>
          <w:lang w:eastAsia="zh-CN"/>
        </w:rPr>
        <w:t xml:space="preserve">   </w:t>
      </w:r>
      <w:r>
        <w:rPr>
          <w:rFonts w:hint="eastAsia" w:ascii="仿宋" w:hAnsi="仿宋" w:eastAsia="仿宋" w:cs="仿宋"/>
          <w:b w:val="0"/>
          <w:bCs w:val="0"/>
          <w:color w:val="auto"/>
          <w:kern w:val="2"/>
          <w:sz w:val="28"/>
          <w:szCs w:val="28"/>
          <w:highlight w:val="none"/>
          <w:u w:val="none"/>
          <w:lang w:val="en-US" w:eastAsia="zh-CN" w:bidi="ar-SA"/>
        </w:rPr>
        <w:t>（一）</w:t>
      </w:r>
      <w:r>
        <w:rPr>
          <w:rFonts w:hint="default" w:ascii="仿宋" w:hAnsi="仿宋" w:eastAsia="仿宋" w:cs="仿宋"/>
          <w:b w:val="0"/>
          <w:bCs w:val="0"/>
          <w:color w:val="auto"/>
          <w:kern w:val="2"/>
          <w:sz w:val="28"/>
          <w:szCs w:val="28"/>
          <w:highlight w:val="none"/>
          <w:u w:val="none"/>
          <w:lang w:val="en-US" w:eastAsia="zh-CN" w:bidi="ar-SA"/>
        </w:rPr>
        <w:t>为提高服务</w:t>
      </w:r>
      <w:r>
        <w:rPr>
          <w:rFonts w:hint="eastAsia" w:ascii="仿宋" w:hAnsi="仿宋" w:eastAsia="仿宋" w:cs="仿宋"/>
          <w:b w:val="0"/>
          <w:bCs w:val="0"/>
          <w:color w:val="auto"/>
          <w:kern w:val="2"/>
          <w:sz w:val="28"/>
          <w:szCs w:val="28"/>
          <w:highlight w:val="none"/>
          <w:u w:val="none"/>
          <w:lang w:val="en-US" w:eastAsia="zh-CN" w:bidi="ar-SA"/>
        </w:rPr>
        <w:t>质量和</w:t>
      </w:r>
      <w:r>
        <w:rPr>
          <w:rFonts w:hint="default" w:ascii="仿宋" w:hAnsi="仿宋" w:eastAsia="仿宋" w:cs="仿宋"/>
          <w:b w:val="0"/>
          <w:bCs w:val="0"/>
          <w:color w:val="auto"/>
          <w:kern w:val="2"/>
          <w:sz w:val="28"/>
          <w:szCs w:val="28"/>
          <w:highlight w:val="none"/>
          <w:u w:val="none"/>
          <w:lang w:val="en-US" w:eastAsia="zh-CN" w:bidi="ar-SA"/>
        </w:rPr>
        <w:t>成效，</w:t>
      </w:r>
      <w:r>
        <w:rPr>
          <w:rFonts w:hint="eastAsia" w:ascii="仿宋" w:hAnsi="仿宋" w:eastAsia="仿宋" w:cs="仿宋"/>
          <w:b w:val="0"/>
          <w:bCs w:val="0"/>
          <w:color w:val="auto"/>
          <w:kern w:val="2"/>
          <w:sz w:val="28"/>
          <w:szCs w:val="28"/>
          <w:highlight w:val="none"/>
          <w:u w:val="none"/>
          <w:lang w:val="en-US" w:eastAsia="zh-CN" w:bidi="ar-SA"/>
        </w:rPr>
        <w:t>乙方以</w:t>
      </w:r>
      <w:r>
        <w:rPr>
          <w:rFonts w:hint="eastAsia" w:ascii="仿宋" w:hAnsi="仿宋" w:eastAsia="仿宋" w:cs="仿宋"/>
          <w:b w:val="0"/>
          <w:bCs w:val="0"/>
          <w:color w:val="auto"/>
          <w:kern w:val="2"/>
          <w:sz w:val="28"/>
          <w:szCs w:val="28"/>
          <w:highlight w:val="none"/>
          <w:u w:val="none"/>
          <w:lang w:val="en-US" w:eastAsia="zh-CN" w:bidi="ar-SA"/>
        </w:rPr>
        <w:t xml:space="preserve"> 300 </w:t>
      </w:r>
      <w:r>
        <w:rPr>
          <w:rFonts w:hint="default" w:ascii="仿宋" w:hAnsi="仿宋" w:eastAsia="仿宋" w:cs="仿宋"/>
          <w:b w:val="0"/>
          <w:bCs w:val="0"/>
          <w:color w:val="auto"/>
          <w:kern w:val="2"/>
          <w:sz w:val="28"/>
          <w:szCs w:val="28"/>
          <w:highlight w:val="none"/>
          <w:u w:val="none"/>
          <w:lang w:val="en-US" w:eastAsia="zh-CN" w:bidi="ar-SA"/>
        </w:rPr>
        <w:t>万元</w:t>
      </w:r>
      <w:r>
        <w:rPr>
          <w:rFonts w:hint="eastAsia" w:ascii="仿宋" w:hAnsi="仿宋" w:eastAsia="仿宋" w:cs="仿宋"/>
          <w:b w:val="0"/>
          <w:bCs w:val="0"/>
          <w:color w:val="auto"/>
          <w:kern w:val="2"/>
          <w:sz w:val="28"/>
          <w:szCs w:val="28"/>
          <w:highlight w:val="none"/>
          <w:u w:val="none"/>
          <w:lang w:val="en-US" w:eastAsia="zh-CN" w:bidi="ar-SA"/>
        </w:rPr>
        <w:t>为限作为履约金，专项用于确保甲方达到逾期率的控制目标。履约金的数额可根据实际业务量、服务质效等情况由双方协商调整。</w:t>
      </w:r>
      <w:r>
        <w:rPr>
          <w:rFonts w:hint="default" w:ascii="仿宋" w:hAnsi="仿宋" w:eastAsia="仿宋" w:cs="仿宋"/>
          <w:b w:val="0"/>
          <w:bCs w:val="0"/>
          <w:color w:val="auto"/>
          <w:kern w:val="2"/>
          <w:sz w:val="28"/>
          <w:szCs w:val="28"/>
          <w:highlight w:val="none"/>
          <w:u w:val="none"/>
          <w:lang w:val="en-US" w:eastAsia="zh-CN" w:bidi="ar-SA"/>
        </w:rPr>
        <w:t>履约金在甲方账户中所产生的利息不计入履约金，到期不退回乙方。</w:t>
      </w:r>
      <w:r>
        <w:rPr>
          <w:rFonts w:hint="eastAsia" w:ascii="仿宋" w:hAnsi="仿宋" w:eastAsia="仿宋" w:cs="仿宋"/>
          <w:b w:val="0"/>
          <w:bCs w:val="0"/>
          <w:color w:val="auto"/>
          <w:kern w:val="2"/>
          <w:sz w:val="28"/>
          <w:szCs w:val="28"/>
          <w:highlight w:val="none"/>
          <w:u w:val="none"/>
          <w:lang w:val="en-US" w:eastAsia="zh-CN" w:bidi="ar-SA"/>
        </w:rPr>
        <w:t>乙方应于签订本协议后10个工作日内将履约金转到甲方的指定账户。</w:t>
      </w:r>
    </w:p>
    <w:p w14:paraId="510652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kern w:val="2"/>
          <w:sz w:val="28"/>
          <w:szCs w:val="28"/>
          <w:highlight w:val="none"/>
          <w:u w:val="none"/>
          <w:lang w:val="en-US" w:eastAsia="zh-CN" w:bidi="ar-SA"/>
        </w:rPr>
        <w:t>甲方账户开户名：</w:t>
      </w:r>
      <w:r>
        <w:rPr>
          <w:rFonts w:hint="eastAsia" w:ascii="仿宋" w:hAnsi="仿宋" w:eastAsia="仿宋" w:cs="仿宋"/>
          <w:color w:val="auto"/>
          <w:sz w:val="32"/>
          <w:szCs w:val="32"/>
          <w:highlight w:val="none"/>
          <w:u w:val="none"/>
          <w:lang w:val="en-US" w:eastAsia="zh-CN"/>
        </w:rPr>
        <w:t xml:space="preserve">                                 </w:t>
      </w:r>
    </w:p>
    <w:p w14:paraId="3F99E8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银行账号：</w:t>
      </w:r>
      <w:r>
        <w:rPr>
          <w:rFonts w:hint="eastAsia" w:ascii="仿宋" w:hAnsi="仿宋" w:eastAsia="仿宋" w:cs="仿宋"/>
          <w:color w:val="auto"/>
          <w:sz w:val="32"/>
          <w:szCs w:val="32"/>
          <w:highlight w:val="none"/>
          <w:u w:val="none"/>
        </w:rPr>
        <w:t xml:space="preserve"> </w:t>
      </w:r>
      <w:r>
        <w:rPr>
          <w:rFonts w:hint="eastAsia" w:ascii="仿宋" w:hAnsi="仿宋" w:eastAsia="仿宋" w:cs="仿宋"/>
          <w:color w:val="auto"/>
          <w:sz w:val="32"/>
          <w:szCs w:val="32"/>
          <w:highlight w:val="none"/>
          <w:u w:val="none"/>
          <w:lang w:val="en-US" w:eastAsia="zh-CN"/>
        </w:rPr>
        <w:t xml:space="preserve">                                     </w:t>
      </w:r>
    </w:p>
    <w:p w14:paraId="5371724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 xml:space="preserve">    开户银行：</w:t>
      </w:r>
      <w:r>
        <w:rPr>
          <w:rFonts w:hint="eastAsia" w:ascii="仿宋" w:hAnsi="仿宋" w:eastAsia="仿宋" w:cs="仿宋"/>
          <w:color w:val="auto"/>
          <w:sz w:val="32"/>
          <w:szCs w:val="32"/>
          <w:highlight w:val="none"/>
          <w:u w:val="none"/>
          <w:lang w:val="en-US" w:eastAsia="zh-CN"/>
        </w:rPr>
        <w:t xml:space="preserve">                                      </w:t>
      </w:r>
    </w:p>
    <w:p w14:paraId="56008D8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（二）乙方授权甲方，当甲方逾期率达到0.24</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含</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以上时，根据逾期情况要求锁定乙方的履约金，甲方做好台账管理，不影响借款人的征信报送和逾期债权催收及抵押房产处置。甲乙双方定期进行履约金锁定情况对账。</w:t>
      </w:r>
    </w:p>
    <w:p w14:paraId="4359D87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eastAsia" w:ascii="黑体" w:hAnsi="黑体" w:eastAsia="黑体" w:cs="黑体"/>
          <w:b w:val="0"/>
          <w:bCs w:val="0"/>
          <w:color w:val="auto"/>
          <w:sz w:val="28"/>
          <w:szCs w:val="28"/>
          <w:highlight w:val="none"/>
          <w:u w:val="none"/>
          <w:lang w:eastAsia="zh-CN"/>
        </w:rPr>
      </w:pPr>
      <w:r>
        <w:rPr>
          <w:rFonts w:hint="eastAsia" w:ascii="仿宋" w:hAnsi="仿宋" w:eastAsia="仿宋" w:cs="仿宋"/>
          <w:b w:val="0"/>
          <w:bCs w:val="0"/>
          <w:color w:val="auto"/>
          <w:kern w:val="2"/>
          <w:sz w:val="28"/>
          <w:szCs w:val="28"/>
          <w:highlight w:val="none"/>
          <w:u w:val="none"/>
          <w:lang w:val="en-US" w:eastAsia="zh-CN" w:bidi="ar-SA"/>
        </w:rPr>
        <w:t xml:space="preserve">   （三）</w:t>
      </w:r>
      <w:r>
        <w:rPr>
          <w:rFonts w:hint="default" w:ascii="仿宋" w:hAnsi="仿宋" w:eastAsia="仿宋" w:cs="仿宋"/>
          <w:b w:val="0"/>
          <w:bCs w:val="0"/>
          <w:color w:val="auto"/>
          <w:kern w:val="2"/>
          <w:sz w:val="28"/>
          <w:szCs w:val="28"/>
          <w:highlight w:val="none"/>
          <w:u w:val="none"/>
          <w:lang w:val="en-US" w:eastAsia="zh-CN" w:bidi="ar-SA"/>
        </w:rPr>
        <w:t>合作</w:t>
      </w:r>
      <w:r>
        <w:rPr>
          <w:rFonts w:hint="eastAsia" w:ascii="仿宋" w:hAnsi="仿宋" w:eastAsia="仿宋" w:cs="仿宋"/>
          <w:b w:val="0"/>
          <w:bCs w:val="0"/>
          <w:color w:val="auto"/>
          <w:kern w:val="2"/>
          <w:sz w:val="28"/>
          <w:szCs w:val="28"/>
          <w:highlight w:val="none"/>
          <w:u w:val="none"/>
          <w:lang w:val="en-US" w:eastAsia="zh-CN" w:bidi="ar-SA"/>
        </w:rPr>
        <w:t>期届满</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双方对履约金数额进行清算，未锁定的履约金甲方退回乙方。如履约金已被甲方锁定的，该部分暂不退回乙方，当甲方催收回款、抵押房产拍卖执行等方式清收回款或完成呆账核销后，根据实际情况解锁相应金额的履约金，双方核清账务后甲方再将对应金额</w:t>
      </w:r>
      <w:r>
        <w:rPr>
          <w:rFonts w:hint="default" w:ascii="仿宋" w:hAnsi="仿宋" w:eastAsia="仿宋" w:cs="仿宋"/>
          <w:b w:val="0"/>
          <w:bCs w:val="0"/>
          <w:color w:val="auto"/>
          <w:kern w:val="2"/>
          <w:sz w:val="28"/>
          <w:szCs w:val="28"/>
          <w:highlight w:val="none"/>
          <w:u w:val="none"/>
          <w:lang w:val="en-US" w:eastAsia="zh-CN" w:bidi="ar-SA"/>
        </w:rPr>
        <w:t>退</w:t>
      </w:r>
      <w:r>
        <w:rPr>
          <w:rFonts w:hint="eastAsia" w:ascii="仿宋" w:hAnsi="仿宋" w:eastAsia="仿宋" w:cs="仿宋"/>
          <w:b w:val="0"/>
          <w:bCs w:val="0"/>
          <w:color w:val="auto"/>
          <w:kern w:val="2"/>
          <w:sz w:val="28"/>
          <w:szCs w:val="28"/>
          <w:highlight w:val="none"/>
          <w:u w:val="none"/>
          <w:lang w:val="en-US" w:eastAsia="zh-CN" w:bidi="ar-SA"/>
        </w:rPr>
        <w:t>回乙方。</w:t>
      </w:r>
    </w:p>
    <w:p w14:paraId="2A48FE6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eastAsia" w:ascii="仿宋" w:hAnsi="仿宋" w:eastAsia="仿宋" w:cs="仿宋"/>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eastAsia="zh-CN"/>
        </w:rPr>
        <w:t xml:space="preserve">    第五条 贷后管理服务费</w:t>
      </w:r>
    </w:p>
    <w:p w14:paraId="54F60D6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 xml:space="preserve">  （一）以甲方月末的逾期率为考核，按照甲方当月已实现的住房公积金贷款利息收入乘以对应档次的费率计算</w:t>
      </w:r>
      <w:r>
        <w:rPr>
          <w:rFonts w:hint="default" w:ascii="仿宋" w:hAnsi="仿宋" w:eastAsia="仿宋" w:cs="仿宋"/>
          <w:b w:val="0"/>
          <w:bCs w:val="0"/>
          <w:color w:val="auto"/>
          <w:kern w:val="2"/>
          <w:sz w:val="28"/>
          <w:szCs w:val="28"/>
          <w:highlight w:val="none"/>
          <w:u w:val="none"/>
          <w:lang w:val="en-US" w:eastAsia="zh-CN" w:bidi="ar-SA"/>
        </w:rPr>
        <w:t>服务费</w:t>
      </w:r>
      <w:r>
        <w:rPr>
          <w:rFonts w:hint="eastAsia" w:ascii="仿宋" w:hAnsi="仿宋" w:eastAsia="仿宋" w:cs="仿宋"/>
          <w:b w:val="0"/>
          <w:bCs w:val="0"/>
          <w:color w:val="auto"/>
          <w:sz w:val="28"/>
          <w:szCs w:val="28"/>
          <w:highlight w:val="none"/>
          <w:u w:val="none"/>
          <w:lang w:val="en-US" w:eastAsia="zh-CN"/>
        </w:rPr>
        <w:t>，</w:t>
      </w:r>
      <w:r>
        <w:rPr>
          <w:rFonts w:hint="eastAsia" w:ascii="仿宋" w:hAnsi="仿宋" w:eastAsia="仿宋" w:cs="仿宋"/>
          <w:b w:val="0"/>
          <w:bCs w:val="0"/>
          <w:color w:val="auto"/>
          <w:kern w:val="2"/>
          <w:sz w:val="28"/>
          <w:szCs w:val="28"/>
          <w:highlight w:val="none"/>
          <w:u w:val="none"/>
          <w:lang w:val="en-US" w:eastAsia="zh-CN" w:bidi="ar-SA"/>
        </w:rPr>
        <w:t>按照季度</w:t>
      </w:r>
      <w:r>
        <w:rPr>
          <w:rFonts w:hint="default" w:ascii="仿宋" w:hAnsi="仿宋" w:eastAsia="仿宋" w:cs="仿宋"/>
          <w:b w:val="0"/>
          <w:bCs w:val="0"/>
          <w:color w:val="auto"/>
          <w:kern w:val="2"/>
          <w:sz w:val="28"/>
          <w:szCs w:val="28"/>
          <w:highlight w:val="none"/>
          <w:u w:val="none"/>
          <w:lang w:val="en-US" w:eastAsia="zh-CN" w:bidi="ar-SA"/>
        </w:rPr>
        <w:t>支付</w:t>
      </w:r>
      <w:r>
        <w:rPr>
          <w:rFonts w:hint="eastAsia" w:ascii="仿宋" w:hAnsi="仿宋" w:eastAsia="仿宋" w:cs="仿宋"/>
          <w:b w:val="0"/>
          <w:bCs w:val="0"/>
          <w:color w:val="auto"/>
          <w:sz w:val="28"/>
          <w:szCs w:val="28"/>
          <w:highlight w:val="none"/>
          <w:u w:val="none"/>
          <w:lang w:val="en-US" w:eastAsia="zh-CN"/>
        </w:rPr>
        <w:t>。</w:t>
      </w:r>
      <w:r>
        <w:rPr>
          <w:rFonts w:hint="eastAsia" w:ascii="仿宋" w:hAnsi="仿宋" w:eastAsia="仿宋" w:cs="仿宋"/>
          <w:b w:val="0"/>
          <w:bCs w:val="0"/>
          <w:color w:val="auto"/>
          <w:kern w:val="2"/>
          <w:sz w:val="28"/>
          <w:szCs w:val="28"/>
          <w:highlight w:val="none"/>
          <w:u w:val="none"/>
          <w:lang w:val="en-US" w:eastAsia="zh-CN" w:bidi="ar-SA"/>
        </w:rPr>
        <w:t>具体计算标准如下：</w:t>
      </w:r>
    </w:p>
    <w:p w14:paraId="2363EC8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 xml:space="preserve"> 1.贷款逾期率控制在0.24</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含</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以下的按</w:t>
      </w:r>
      <w:r>
        <w:rPr>
          <w:rFonts w:hint="eastAsia" w:ascii="仿宋" w:hAnsi="仿宋" w:eastAsia="仿宋" w:cs="仿宋"/>
          <w:b w:val="0"/>
          <w:bCs w:val="0"/>
          <w:color w:val="auto"/>
          <w:kern w:val="2"/>
          <w:sz w:val="28"/>
          <w:szCs w:val="28"/>
          <w:highlight w:val="none"/>
          <w:u w:val="none"/>
          <w:lang w:val="en-US" w:eastAsia="zh-CN" w:bidi="ar-SA"/>
        </w:rPr>
        <w:t xml:space="preserve">    </w:t>
      </w:r>
      <w:r>
        <w:rPr>
          <w:rFonts w:hint="eastAsia" w:ascii="仿宋" w:hAnsi="仿宋" w:eastAsia="仿宋" w:cs="仿宋"/>
          <w:b w:val="0"/>
          <w:bCs w:val="0"/>
          <w:color w:val="auto"/>
          <w:kern w:val="2"/>
          <w:sz w:val="28"/>
          <w:szCs w:val="28"/>
          <w:highlight w:val="none"/>
          <w:u w:val="none"/>
          <w:lang w:val="en-US" w:eastAsia="zh-CN" w:bidi="ar-SA"/>
        </w:rPr>
        <w:t>%计算；</w:t>
      </w:r>
    </w:p>
    <w:p w14:paraId="31E4A78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 xml:space="preserve"> 2.贷款逾期率控制在</w:t>
      </w:r>
      <w:r>
        <w:rPr>
          <w:rFonts w:hint="default" w:ascii="仿宋" w:hAnsi="仿宋" w:eastAsia="仿宋" w:cs="仿宋"/>
          <w:b w:val="0"/>
          <w:bCs w:val="0"/>
          <w:color w:val="auto"/>
          <w:kern w:val="2"/>
          <w:sz w:val="28"/>
          <w:szCs w:val="28"/>
          <w:highlight w:val="none"/>
          <w:u w:val="none"/>
          <w:lang w:val="en-US" w:eastAsia="zh-CN" w:bidi="ar-SA"/>
        </w:rPr>
        <w:t>0.2</w:t>
      </w:r>
      <w:r>
        <w:rPr>
          <w:rFonts w:hint="eastAsia" w:ascii="仿宋" w:hAnsi="仿宋" w:eastAsia="仿宋" w:cs="仿宋"/>
          <w:b w:val="0"/>
          <w:bCs w:val="0"/>
          <w:color w:val="auto"/>
          <w:kern w:val="2"/>
          <w:sz w:val="28"/>
          <w:szCs w:val="28"/>
          <w:highlight w:val="none"/>
          <w:u w:val="none"/>
          <w:lang w:val="en-US" w:eastAsia="zh-CN" w:bidi="ar-SA"/>
        </w:rPr>
        <w:t>4</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w:t>
      </w:r>
      <w:r>
        <w:rPr>
          <w:rFonts w:hint="default" w:ascii="仿宋" w:hAnsi="仿宋" w:eastAsia="仿宋" w:cs="仿宋"/>
          <w:b w:val="0"/>
          <w:bCs w:val="0"/>
          <w:color w:val="auto"/>
          <w:kern w:val="2"/>
          <w:sz w:val="28"/>
          <w:szCs w:val="28"/>
          <w:highlight w:val="none"/>
          <w:u w:val="none"/>
          <w:lang w:val="en-US" w:eastAsia="zh-CN" w:bidi="ar-SA"/>
        </w:rPr>
        <w:t>0.</w:t>
      </w:r>
      <w:r>
        <w:rPr>
          <w:rFonts w:hint="eastAsia" w:ascii="仿宋" w:hAnsi="仿宋" w:eastAsia="仿宋" w:cs="仿宋"/>
          <w:b w:val="0"/>
          <w:bCs w:val="0"/>
          <w:color w:val="auto"/>
          <w:kern w:val="2"/>
          <w:sz w:val="28"/>
          <w:szCs w:val="28"/>
          <w:highlight w:val="none"/>
          <w:u w:val="none"/>
          <w:lang w:val="en-US" w:eastAsia="zh-CN" w:bidi="ar-SA"/>
        </w:rPr>
        <w:t>29</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（含）的按</w:t>
      </w:r>
      <w:r>
        <w:rPr>
          <w:rFonts w:hint="eastAsia" w:ascii="仿宋" w:hAnsi="仿宋" w:eastAsia="仿宋" w:cs="仿宋"/>
          <w:b w:val="0"/>
          <w:bCs w:val="0"/>
          <w:color w:val="auto"/>
          <w:kern w:val="2"/>
          <w:sz w:val="28"/>
          <w:szCs w:val="28"/>
          <w:highlight w:val="none"/>
          <w:u w:val="none"/>
          <w:lang w:val="en-US" w:eastAsia="zh-CN" w:bidi="ar-SA"/>
        </w:rPr>
        <w:t xml:space="preserve">    </w:t>
      </w:r>
      <w:r>
        <w:rPr>
          <w:rFonts w:hint="eastAsia" w:ascii="仿宋" w:hAnsi="仿宋" w:eastAsia="仿宋" w:cs="仿宋"/>
          <w:b w:val="0"/>
          <w:bCs w:val="0"/>
          <w:color w:val="auto"/>
          <w:kern w:val="2"/>
          <w:sz w:val="28"/>
          <w:szCs w:val="28"/>
          <w:highlight w:val="none"/>
          <w:u w:val="none"/>
          <w:lang w:val="en-US" w:eastAsia="zh-CN" w:bidi="ar-SA"/>
        </w:rPr>
        <w:t>%计算；</w:t>
      </w:r>
    </w:p>
    <w:p w14:paraId="6DCE92D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 xml:space="preserve"> 3.贷款逾期率在</w:t>
      </w:r>
      <w:r>
        <w:rPr>
          <w:rFonts w:hint="default" w:ascii="仿宋" w:hAnsi="仿宋" w:eastAsia="仿宋" w:cs="仿宋"/>
          <w:b w:val="0"/>
          <w:bCs w:val="0"/>
          <w:color w:val="auto"/>
          <w:kern w:val="2"/>
          <w:sz w:val="28"/>
          <w:szCs w:val="28"/>
          <w:highlight w:val="none"/>
          <w:u w:val="none"/>
          <w:lang w:val="en-US" w:eastAsia="zh-CN" w:bidi="ar-SA"/>
        </w:rPr>
        <w:t>0.</w:t>
      </w:r>
      <w:r>
        <w:rPr>
          <w:rFonts w:hint="eastAsia" w:ascii="仿宋" w:hAnsi="仿宋" w:eastAsia="仿宋" w:cs="仿宋"/>
          <w:b w:val="0"/>
          <w:bCs w:val="0"/>
          <w:color w:val="auto"/>
          <w:kern w:val="2"/>
          <w:sz w:val="28"/>
          <w:szCs w:val="28"/>
          <w:highlight w:val="none"/>
          <w:u w:val="none"/>
          <w:lang w:val="en-US" w:eastAsia="zh-CN" w:bidi="ar-SA"/>
        </w:rPr>
        <w:t>29</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w:t>
      </w:r>
      <w:r>
        <w:rPr>
          <w:rFonts w:hint="default" w:ascii="仿宋" w:hAnsi="仿宋" w:eastAsia="仿宋" w:cs="仿宋"/>
          <w:b w:val="0"/>
          <w:bCs w:val="0"/>
          <w:color w:val="auto"/>
          <w:kern w:val="2"/>
          <w:sz w:val="28"/>
          <w:szCs w:val="28"/>
          <w:highlight w:val="none"/>
          <w:u w:val="none"/>
          <w:lang w:val="en-US" w:eastAsia="zh-CN" w:bidi="ar-SA"/>
        </w:rPr>
        <w:t>0.</w:t>
      </w:r>
      <w:r>
        <w:rPr>
          <w:rFonts w:hint="eastAsia" w:ascii="仿宋" w:hAnsi="仿宋" w:eastAsia="仿宋" w:cs="仿宋"/>
          <w:b w:val="0"/>
          <w:bCs w:val="0"/>
          <w:color w:val="auto"/>
          <w:kern w:val="2"/>
          <w:sz w:val="28"/>
          <w:szCs w:val="28"/>
          <w:highlight w:val="none"/>
          <w:u w:val="none"/>
          <w:lang w:val="en-US" w:eastAsia="zh-CN" w:bidi="ar-SA"/>
        </w:rPr>
        <w:t>35</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（含）的按</w:t>
      </w:r>
      <w:r>
        <w:rPr>
          <w:rFonts w:hint="eastAsia" w:ascii="仿宋" w:hAnsi="仿宋" w:eastAsia="仿宋" w:cs="仿宋"/>
          <w:b w:val="0"/>
          <w:bCs w:val="0"/>
          <w:color w:val="auto"/>
          <w:kern w:val="2"/>
          <w:sz w:val="28"/>
          <w:szCs w:val="28"/>
          <w:highlight w:val="none"/>
          <w:u w:val="none"/>
          <w:lang w:val="en-US" w:eastAsia="zh-CN" w:bidi="ar-SA"/>
        </w:rPr>
        <w:t xml:space="preserve">    </w:t>
      </w:r>
      <w:r>
        <w:rPr>
          <w:rFonts w:hint="eastAsia" w:ascii="仿宋" w:hAnsi="仿宋" w:eastAsia="仿宋" w:cs="仿宋"/>
          <w:b w:val="0"/>
          <w:bCs w:val="0"/>
          <w:color w:val="auto"/>
          <w:kern w:val="2"/>
          <w:sz w:val="28"/>
          <w:szCs w:val="28"/>
          <w:highlight w:val="none"/>
          <w:u w:val="none"/>
          <w:lang w:val="en-US" w:eastAsia="zh-CN" w:bidi="ar-SA"/>
        </w:rPr>
        <w:t>%计算；</w:t>
      </w:r>
    </w:p>
    <w:p w14:paraId="4E86C340">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 xml:space="preserve">     4.贷款逾期率在</w:t>
      </w:r>
      <w:r>
        <w:rPr>
          <w:rFonts w:hint="default" w:ascii="仿宋" w:hAnsi="仿宋" w:eastAsia="仿宋" w:cs="仿宋"/>
          <w:b w:val="0"/>
          <w:bCs w:val="0"/>
          <w:color w:val="auto"/>
          <w:kern w:val="2"/>
          <w:sz w:val="28"/>
          <w:szCs w:val="28"/>
          <w:highlight w:val="none"/>
          <w:u w:val="none"/>
          <w:lang w:val="en-US" w:eastAsia="zh-CN" w:bidi="ar-SA"/>
        </w:rPr>
        <w:t>0.</w:t>
      </w:r>
      <w:r>
        <w:rPr>
          <w:rFonts w:hint="eastAsia" w:ascii="仿宋" w:hAnsi="仿宋" w:eastAsia="仿宋" w:cs="仿宋"/>
          <w:b w:val="0"/>
          <w:bCs w:val="0"/>
          <w:color w:val="auto"/>
          <w:kern w:val="2"/>
          <w:sz w:val="28"/>
          <w:szCs w:val="28"/>
          <w:highlight w:val="none"/>
          <w:u w:val="none"/>
          <w:lang w:val="en-US" w:eastAsia="zh-CN" w:bidi="ar-SA"/>
        </w:rPr>
        <w:t>35</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w:t>
      </w:r>
      <w:r>
        <w:rPr>
          <w:rFonts w:hint="default" w:ascii="仿宋" w:hAnsi="仿宋" w:eastAsia="仿宋" w:cs="仿宋"/>
          <w:b w:val="0"/>
          <w:bCs w:val="0"/>
          <w:color w:val="auto"/>
          <w:kern w:val="2"/>
          <w:sz w:val="28"/>
          <w:szCs w:val="28"/>
          <w:highlight w:val="none"/>
          <w:u w:val="none"/>
          <w:lang w:val="en-US" w:eastAsia="zh-CN" w:bidi="ar-SA"/>
        </w:rPr>
        <w:t>0.</w:t>
      </w:r>
      <w:r>
        <w:rPr>
          <w:rFonts w:hint="eastAsia" w:ascii="仿宋" w:hAnsi="仿宋" w:eastAsia="仿宋" w:cs="仿宋"/>
          <w:b w:val="0"/>
          <w:bCs w:val="0"/>
          <w:color w:val="auto"/>
          <w:kern w:val="2"/>
          <w:sz w:val="28"/>
          <w:szCs w:val="28"/>
          <w:highlight w:val="none"/>
          <w:u w:val="none"/>
          <w:lang w:val="en-US" w:eastAsia="zh-CN" w:bidi="ar-SA"/>
        </w:rPr>
        <w:t>4</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（含）的按</w:t>
      </w:r>
      <w:r>
        <w:rPr>
          <w:rFonts w:hint="eastAsia" w:ascii="仿宋" w:hAnsi="仿宋" w:eastAsia="仿宋" w:cs="仿宋"/>
          <w:b w:val="0"/>
          <w:bCs w:val="0"/>
          <w:color w:val="auto"/>
          <w:kern w:val="2"/>
          <w:sz w:val="28"/>
          <w:szCs w:val="28"/>
          <w:highlight w:val="none"/>
          <w:u w:val="none"/>
          <w:lang w:val="en-US" w:eastAsia="zh-CN" w:bidi="ar-SA"/>
        </w:rPr>
        <w:t xml:space="preserve">    </w:t>
      </w:r>
      <w:r>
        <w:rPr>
          <w:rFonts w:hint="eastAsia" w:ascii="仿宋" w:hAnsi="仿宋" w:eastAsia="仿宋" w:cs="仿宋"/>
          <w:b w:val="0"/>
          <w:bCs w:val="0"/>
          <w:color w:val="auto"/>
          <w:kern w:val="2"/>
          <w:sz w:val="28"/>
          <w:szCs w:val="28"/>
          <w:highlight w:val="none"/>
          <w:u w:val="none"/>
          <w:lang w:val="en-US" w:eastAsia="zh-CN" w:bidi="ar-SA"/>
        </w:rPr>
        <w:t>%计算；</w:t>
      </w:r>
    </w:p>
    <w:p w14:paraId="30536839">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color w:val="auto"/>
          <w:highlight w:val="none"/>
          <w:u w:val="none"/>
          <w:lang w:val="en-US" w:eastAsia="zh-CN"/>
        </w:rPr>
      </w:pPr>
      <w:r>
        <w:rPr>
          <w:rFonts w:hint="eastAsia" w:ascii="仿宋" w:hAnsi="仿宋" w:eastAsia="仿宋" w:cs="仿宋"/>
          <w:b w:val="0"/>
          <w:bCs w:val="0"/>
          <w:color w:val="auto"/>
          <w:kern w:val="2"/>
          <w:sz w:val="28"/>
          <w:szCs w:val="28"/>
          <w:highlight w:val="none"/>
          <w:u w:val="none"/>
          <w:lang w:val="en-US" w:eastAsia="zh-CN" w:bidi="ar-SA"/>
        </w:rPr>
        <w:t xml:space="preserve">     5.贷款逾期率在</w:t>
      </w:r>
      <w:r>
        <w:rPr>
          <w:rFonts w:hint="default" w:ascii="仿宋" w:hAnsi="仿宋" w:eastAsia="仿宋" w:cs="仿宋"/>
          <w:b w:val="0"/>
          <w:bCs w:val="0"/>
          <w:color w:val="auto"/>
          <w:kern w:val="2"/>
          <w:sz w:val="28"/>
          <w:szCs w:val="28"/>
          <w:highlight w:val="none"/>
          <w:u w:val="none"/>
          <w:lang w:val="en-US" w:eastAsia="zh-CN" w:bidi="ar-SA"/>
        </w:rPr>
        <w:t>0.</w:t>
      </w:r>
      <w:r>
        <w:rPr>
          <w:rFonts w:hint="eastAsia" w:ascii="仿宋" w:hAnsi="仿宋" w:eastAsia="仿宋" w:cs="仿宋"/>
          <w:b w:val="0"/>
          <w:bCs w:val="0"/>
          <w:color w:val="auto"/>
          <w:kern w:val="2"/>
          <w:sz w:val="28"/>
          <w:szCs w:val="28"/>
          <w:highlight w:val="none"/>
          <w:u w:val="none"/>
          <w:lang w:val="en-US" w:eastAsia="zh-CN" w:bidi="ar-SA"/>
        </w:rPr>
        <w:t>4</w:t>
      </w:r>
      <w:r>
        <w:rPr>
          <w:rFonts w:hint="default" w:ascii="仿宋" w:hAnsi="仿宋" w:eastAsia="仿宋" w:cs="仿宋"/>
          <w:b w:val="0"/>
          <w:bCs w:val="0"/>
          <w:color w:val="auto"/>
          <w:kern w:val="2"/>
          <w:sz w:val="28"/>
          <w:szCs w:val="28"/>
          <w:highlight w:val="none"/>
          <w:u w:val="none"/>
          <w:lang w:val="en-US" w:eastAsia="zh-CN" w:bidi="ar-SA"/>
        </w:rPr>
        <w:t>‰</w:t>
      </w:r>
      <w:r>
        <w:rPr>
          <w:rFonts w:hint="eastAsia" w:ascii="仿宋" w:hAnsi="仿宋" w:eastAsia="仿宋" w:cs="仿宋"/>
          <w:b w:val="0"/>
          <w:bCs w:val="0"/>
          <w:color w:val="auto"/>
          <w:kern w:val="2"/>
          <w:sz w:val="28"/>
          <w:szCs w:val="28"/>
          <w:highlight w:val="none"/>
          <w:u w:val="none"/>
          <w:lang w:val="en-US" w:eastAsia="zh-CN" w:bidi="ar-SA"/>
        </w:rPr>
        <w:t>以上的，当月不计算服务费，且此后不补。</w:t>
      </w:r>
    </w:p>
    <w:p w14:paraId="58404F05">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 xml:space="preserve">   （二）</w:t>
      </w:r>
      <w:r>
        <w:rPr>
          <w:rFonts w:hint="eastAsia" w:ascii="仿宋" w:hAnsi="仿宋" w:eastAsia="仿宋" w:cs="仿宋"/>
          <w:b w:val="0"/>
          <w:bCs w:val="0"/>
          <w:color w:val="auto"/>
          <w:kern w:val="2"/>
          <w:sz w:val="28"/>
          <w:szCs w:val="28"/>
          <w:highlight w:val="none"/>
          <w:u w:val="none"/>
          <w:lang w:val="en-US" w:eastAsia="zh-CN" w:bidi="ar-SA"/>
        </w:rPr>
        <w:t>上述贷款逾期率是指时点日住房公积金贷款逾期额占住房公积金贷款余额的比例。其中，逾期3-5期逾期金额的统计口径为截至时点日借款合同约定到期3个月（含）以上、6个月（不含）以内应还未还贷款本金金额；逾期6期及以上的统计口径为截至时点日借款合同约定到期6个月及以上未归还贷款的本金余额之和。如住建部门对逾期率的规定进行调整，自调整执行时间起按调整后的规定执行。</w:t>
      </w:r>
    </w:p>
    <w:p w14:paraId="2936ECA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（三）贷后管理服务费转至乙方下述银行账户：</w:t>
      </w:r>
    </w:p>
    <w:p w14:paraId="2E30C3B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kern w:val="2"/>
          <w:sz w:val="28"/>
          <w:szCs w:val="28"/>
          <w:highlight w:val="none"/>
          <w:u w:val="none"/>
          <w:lang w:val="en-US" w:eastAsia="zh-CN" w:bidi="ar-SA"/>
        </w:rPr>
        <w:t>乙方账户开户名：</w:t>
      </w:r>
      <w:r>
        <w:rPr>
          <w:rFonts w:hint="eastAsia" w:ascii="仿宋" w:hAnsi="仿宋" w:eastAsia="仿宋" w:cs="仿宋"/>
          <w:color w:val="auto"/>
          <w:sz w:val="32"/>
          <w:szCs w:val="32"/>
          <w:highlight w:val="none"/>
          <w:u w:val="none"/>
          <w:lang w:val="en-US" w:eastAsia="zh-CN"/>
        </w:rPr>
        <w:t xml:space="preserve">                                 </w:t>
      </w:r>
    </w:p>
    <w:p w14:paraId="2ACE1B3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银行账号：</w:t>
      </w:r>
      <w:r>
        <w:rPr>
          <w:rFonts w:hint="eastAsia" w:ascii="仿宋" w:hAnsi="仿宋" w:eastAsia="仿宋" w:cs="仿宋"/>
          <w:color w:val="auto"/>
          <w:sz w:val="32"/>
          <w:szCs w:val="32"/>
          <w:highlight w:val="none"/>
          <w:u w:val="none"/>
        </w:rPr>
        <w:t xml:space="preserve"> </w:t>
      </w:r>
      <w:r>
        <w:rPr>
          <w:rFonts w:hint="eastAsia" w:ascii="仿宋" w:hAnsi="仿宋" w:eastAsia="仿宋" w:cs="仿宋"/>
          <w:color w:val="auto"/>
          <w:sz w:val="32"/>
          <w:szCs w:val="32"/>
          <w:highlight w:val="none"/>
          <w:u w:val="none"/>
          <w:lang w:val="en-US" w:eastAsia="zh-CN"/>
        </w:rPr>
        <w:t xml:space="preserve">                                     </w:t>
      </w:r>
    </w:p>
    <w:p w14:paraId="0B3D07FA">
      <w:pPr>
        <w:pStyle w:val="2"/>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黑体" w:hAnsi="黑体" w:eastAsia="黑体" w:cs="黑体"/>
          <w:b w:val="0"/>
          <w:bCs w:val="0"/>
          <w:color w:val="auto"/>
          <w:sz w:val="28"/>
          <w:szCs w:val="28"/>
          <w:highlight w:val="none"/>
          <w:u w:val="none"/>
          <w:lang w:eastAsia="zh-CN"/>
        </w:rPr>
      </w:pPr>
      <w:r>
        <w:rPr>
          <w:rFonts w:hint="eastAsia" w:ascii="仿宋" w:hAnsi="仿宋" w:eastAsia="仿宋" w:cs="仿宋"/>
          <w:b w:val="0"/>
          <w:bCs w:val="0"/>
          <w:color w:val="auto"/>
          <w:kern w:val="2"/>
          <w:sz w:val="28"/>
          <w:szCs w:val="28"/>
          <w:highlight w:val="none"/>
          <w:u w:val="none"/>
          <w:lang w:val="en-US" w:eastAsia="zh-CN" w:bidi="ar-SA"/>
        </w:rPr>
        <w:t xml:space="preserve">    开户银行：</w:t>
      </w:r>
      <w:r>
        <w:rPr>
          <w:rFonts w:hint="eastAsia" w:ascii="仿宋" w:hAnsi="仿宋" w:eastAsia="仿宋" w:cs="仿宋"/>
          <w:color w:val="auto"/>
          <w:sz w:val="32"/>
          <w:szCs w:val="32"/>
          <w:highlight w:val="none"/>
          <w:u w:val="none"/>
          <w:lang w:val="en-US" w:eastAsia="zh-CN"/>
        </w:rPr>
        <w:t xml:space="preserve">                                      </w:t>
      </w:r>
    </w:p>
    <w:p w14:paraId="43CB901F">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outlineLvl w:val="9"/>
        <w:rPr>
          <w:rFonts w:hint="eastAsia" w:ascii="黑体" w:hAnsi="黑体" w:eastAsia="黑体" w:cs="黑体"/>
          <w:b w:val="0"/>
          <w:bCs w:val="0"/>
          <w:color w:val="auto"/>
          <w:sz w:val="28"/>
          <w:szCs w:val="28"/>
          <w:highlight w:val="none"/>
          <w:u w:val="none"/>
          <w:lang w:eastAsia="zh-CN"/>
        </w:rPr>
      </w:pPr>
      <w:r>
        <w:rPr>
          <w:rFonts w:hint="eastAsia" w:ascii="黑体" w:hAnsi="黑体" w:eastAsia="黑体" w:cs="黑体"/>
          <w:b w:val="0"/>
          <w:bCs w:val="0"/>
          <w:color w:val="auto"/>
          <w:sz w:val="28"/>
          <w:szCs w:val="28"/>
          <w:highlight w:val="none"/>
          <w:u w:val="none"/>
          <w:lang w:eastAsia="zh-CN"/>
        </w:rPr>
        <w:t>第六条 争议解决</w:t>
      </w:r>
    </w:p>
    <w:p w14:paraId="72A1EB20">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outlineLvl w:val="9"/>
        <w:rPr>
          <w:rFonts w:hint="eastAsia" w:ascii="仿宋" w:hAnsi="仿宋" w:eastAsia="仿宋" w:cs="仿宋"/>
          <w:b w:val="0"/>
          <w:bCs w:val="0"/>
          <w:color w:val="auto"/>
          <w:sz w:val="28"/>
          <w:szCs w:val="28"/>
          <w:highlight w:val="none"/>
          <w:u w:val="none"/>
          <w:lang w:eastAsia="zh-CN"/>
        </w:rPr>
      </w:pPr>
      <w:r>
        <w:rPr>
          <w:rFonts w:hint="eastAsia" w:ascii="仿宋" w:hAnsi="仿宋" w:eastAsia="仿宋" w:cs="仿宋"/>
          <w:b w:val="0"/>
          <w:bCs w:val="0"/>
          <w:color w:val="auto"/>
          <w:sz w:val="28"/>
          <w:szCs w:val="28"/>
          <w:highlight w:val="none"/>
          <w:u w:val="none"/>
          <w:lang w:eastAsia="zh-CN"/>
        </w:rPr>
        <w:t xml:space="preserve">在本协议有效期内，如遇政策、业务变更或各方在履行本协议过程中产生争议的，甲、乙双方应友好协商解决。协商不成的，甲、乙双方均有权向甲方所在地人民法院提起诉讼。协商与争议期间，未涉及争议部分仍需履行。 </w:t>
      </w:r>
    </w:p>
    <w:p w14:paraId="0D78FDEA">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outlineLvl w:val="9"/>
        <w:rPr>
          <w:rFonts w:hint="eastAsia" w:ascii="仿宋" w:hAnsi="仿宋" w:eastAsia="仿宋" w:cs="仿宋"/>
          <w:b w:val="0"/>
          <w:bCs w:val="0"/>
          <w:color w:val="auto"/>
          <w:sz w:val="28"/>
          <w:szCs w:val="28"/>
          <w:highlight w:val="none"/>
          <w:u w:val="none"/>
          <w:lang w:eastAsia="zh-CN"/>
        </w:rPr>
      </w:pPr>
      <w:r>
        <w:rPr>
          <w:rFonts w:hint="eastAsia" w:ascii="黑体" w:hAnsi="黑体" w:eastAsia="黑体" w:cs="黑体"/>
          <w:b w:val="0"/>
          <w:bCs w:val="0"/>
          <w:color w:val="auto"/>
          <w:sz w:val="28"/>
          <w:szCs w:val="28"/>
          <w:highlight w:val="none"/>
          <w:u w:val="none"/>
          <w:lang w:eastAsia="zh-CN"/>
        </w:rPr>
        <w:t>第七条 保密条款</w:t>
      </w:r>
    </w:p>
    <w:p w14:paraId="131AB64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一）甲、乙双方均应对双方的合作内容、有关数据和资料以及合作期间所了解到的商业信息等负永久保密义务。未经对方书面许可，不得以任何形式复制、散发、传据、转让或透露给予任何第三人或许可任何第三人使用，亦不得将相关数据、资料用于其他任何用途。法律法规、监管政策等另有规定的除外。</w:t>
      </w:r>
    </w:p>
    <w:p w14:paraId="690B0AD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ascii="宋体" w:hAnsi="宋体" w:eastAsia="宋体" w:cs="宋体"/>
          <w:color w:val="auto"/>
          <w:sz w:val="28"/>
          <w:szCs w:val="28"/>
          <w:highlight w:val="none"/>
          <w:u w:val="none"/>
        </w:rPr>
      </w:pPr>
      <w:r>
        <w:rPr>
          <w:rFonts w:hint="eastAsia" w:ascii="仿宋" w:hAnsi="仿宋" w:eastAsia="仿宋" w:cs="仿宋"/>
          <w:b w:val="0"/>
          <w:bCs w:val="0"/>
          <w:color w:val="auto"/>
          <w:sz w:val="28"/>
          <w:szCs w:val="28"/>
          <w:highlight w:val="none"/>
          <w:u w:val="none"/>
          <w:lang w:val="en-US" w:eastAsia="zh-CN"/>
        </w:rPr>
        <w:t xml:space="preserve">   （二）甲、乙双方应负责本单位与本协议相关业务的人员管理，遵守保密义务，如有违约情形，由违约方承担由此造成的损失。本条所规定的保密义务应永久持续有效。</w:t>
      </w:r>
    </w:p>
    <w:p w14:paraId="5EEC9E7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b w:val="0"/>
          <w:bCs w:val="0"/>
          <w:color w:val="auto"/>
          <w:kern w:val="2"/>
          <w:sz w:val="28"/>
          <w:szCs w:val="28"/>
          <w:highlight w:val="none"/>
          <w:u w:val="none"/>
          <w:lang w:val="en-US" w:eastAsia="zh-CN" w:bidi="ar-SA"/>
        </w:rPr>
      </w:pPr>
      <w:r>
        <w:rPr>
          <w:rFonts w:hint="eastAsia" w:ascii="黑体" w:hAnsi="黑体" w:eastAsia="黑体" w:cs="黑体"/>
          <w:b w:val="0"/>
          <w:bCs w:val="0"/>
          <w:color w:val="auto"/>
          <w:kern w:val="2"/>
          <w:sz w:val="28"/>
          <w:szCs w:val="28"/>
          <w:highlight w:val="none"/>
          <w:u w:val="none"/>
          <w:lang w:val="en-US" w:eastAsia="zh-CN" w:bidi="ar-SA"/>
        </w:rPr>
        <w:t>第八条 不可抗力</w:t>
      </w:r>
    </w:p>
    <w:p w14:paraId="211E8FE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因不可抗力导致甲乙双方或一方不能履行或不能完全履行本协议项下有关义务时，双方相互不承担违约责任。但遇有不可抗力的一方或双方应于不可抗力发生后15个工作日内将情况书面告知对方，并提供有关部门的证明。在不可抗力影响消除后的合理时间内，一方或双方应当继续履行合同。</w:t>
      </w:r>
    </w:p>
    <w:p w14:paraId="127310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b w:val="0"/>
          <w:bCs w:val="0"/>
          <w:color w:val="auto"/>
          <w:kern w:val="2"/>
          <w:sz w:val="28"/>
          <w:szCs w:val="28"/>
          <w:highlight w:val="none"/>
          <w:u w:val="none"/>
          <w:lang w:val="en-US" w:eastAsia="zh-CN" w:bidi="ar-SA"/>
        </w:rPr>
      </w:pPr>
      <w:r>
        <w:rPr>
          <w:rFonts w:hint="eastAsia" w:ascii="黑体" w:hAnsi="黑体" w:eastAsia="黑体" w:cs="黑体"/>
          <w:b w:val="0"/>
          <w:bCs w:val="0"/>
          <w:color w:val="auto"/>
          <w:kern w:val="2"/>
          <w:sz w:val="28"/>
          <w:szCs w:val="28"/>
          <w:highlight w:val="none"/>
          <w:u w:val="none"/>
          <w:lang w:val="en-US" w:eastAsia="zh-CN" w:bidi="ar-SA"/>
        </w:rPr>
        <w:t>第九条 合作期限</w:t>
      </w:r>
    </w:p>
    <w:p w14:paraId="6544B1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业务试行3年，根据上级主管部门要求、政策规定、服务等情况再决定是否继续合作。</w:t>
      </w:r>
    </w:p>
    <w:p w14:paraId="02743E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outlineLvl w:val="9"/>
        <w:rPr>
          <w:rFonts w:hint="eastAsia" w:ascii="黑体" w:hAnsi="黑体" w:eastAsia="黑体" w:cs="黑体"/>
          <w:b w:val="0"/>
          <w:bCs w:val="0"/>
          <w:color w:val="auto"/>
          <w:kern w:val="2"/>
          <w:sz w:val="28"/>
          <w:szCs w:val="28"/>
          <w:highlight w:val="none"/>
          <w:u w:val="none"/>
          <w:lang w:val="en-US" w:eastAsia="zh-CN" w:bidi="ar-SA"/>
        </w:rPr>
      </w:pPr>
      <w:r>
        <w:rPr>
          <w:rFonts w:hint="eastAsia" w:ascii="黑体" w:hAnsi="黑体" w:eastAsia="黑体" w:cs="黑体"/>
          <w:b w:val="0"/>
          <w:bCs w:val="0"/>
          <w:color w:val="auto"/>
          <w:kern w:val="2"/>
          <w:sz w:val="28"/>
          <w:szCs w:val="28"/>
          <w:highlight w:val="none"/>
          <w:u w:val="none"/>
          <w:lang w:val="en-US" w:eastAsia="zh-CN" w:bidi="ar-SA"/>
        </w:rPr>
        <w:t>第十条 其他条款</w:t>
      </w:r>
    </w:p>
    <w:p w14:paraId="373F88A0">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outlineLvl w:val="9"/>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一</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本协议为双方业务合作的框架性协议，在开展具体业务时，可以另行协商签订具体业务合作协议或补充协议，双方签订的具体业务协议或补充协议具有同等法律效力。</w:t>
      </w:r>
    </w:p>
    <w:p w14:paraId="67628D60">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outlineLvl w:val="9"/>
        <w:rPr>
          <w:rFonts w:hint="eastAsia" w:ascii="仿宋" w:hAnsi="仿宋" w:eastAsia="仿宋" w:cs="仿宋"/>
          <w:b w:val="0"/>
          <w:bCs w:val="0"/>
          <w:color w:val="auto"/>
          <w:sz w:val="28"/>
          <w:szCs w:val="28"/>
          <w:highlight w:val="none"/>
          <w:u w:val="none"/>
          <w:lang w:eastAsia="zh-CN"/>
        </w:rPr>
      </w:pPr>
      <w:r>
        <w:rPr>
          <w:rFonts w:hint="eastAsia" w:ascii="仿宋" w:hAnsi="仿宋" w:eastAsia="仿宋" w:cs="仿宋"/>
          <w:b w:val="0"/>
          <w:bCs w:val="0"/>
          <w:color w:val="auto"/>
          <w:sz w:val="28"/>
          <w:szCs w:val="28"/>
          <w:highlight w:val="none"/>
          <w:u w:val="none"/>
          <w:lang w:val="en-US" w:eastAsia="zh-CN"/>
        </w:rPr>
        <w:t>（二）</w:t>
      </w:r>
      <w:r>
        <w:rPr>
          <w:rFonts w:hint="eastAsia" w:ascii="仿宋" w:hAnsi="仿宋" w:eastAsia="仿宋" w:cs="仿宋"/>
          <w:b w:val="0"/>
          <w:bCs w:val="0"/>
          <w:color w:val="auto"/>
          <w:sz w:val="28"/>
          <w:szCs w:val="28"/>
          <w:highlight w:val="none"/>
          <w:u w:val="none"/>
          <w:lang w:eastAsia="zh-CN"/>
        </w:rPr>
        <w:t>甲、乙双方确认与业务相关的通知与送达的有效地址为本协议之首页所列各方的地址，该送达地址适用范围包括双方非诉时各类通知、协议等文件以及就本协议发生纠纷时相关文件和法律文书的送达（包括在争议进入仲裁、民事诉讼程序后的一审、二审、再审和执行程序的法律文书）。送达地址需要变更时应当书面通知对方。因提供或者确认的送达地址不准确、送达地址变更后未及时依程序告知对方或指定的联系人拒绝签收等原因，导致法律文书未能被实际接收的，邮寄送达的，以文书退回之日视为送达之日。</w:t>
      </w:r>
    </w:p>
    <w:p w14:paraId="622C4A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b w:val="0"/>
          <w:bCs w:val="0"/>
          <w:color w:val="auto"/>
          <w:sz w:val="28"/>
          <w:szCs w:val="28"/>
          <w:highlight w:val="none"/>
          <w:u w:val="none"/>
          <w:lang w:eastAsia="zh-CN"/>
        </w:rPr>
      </w:pP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三</w:t>
      </w:r>
      <w:r>
        <w:rPr>
          <w:rFonts w:hint="eastAsia" w:ascii="仿宋" w:hAnsi="仿宋" w:eastAsia="仿宋" w:cs="仿宋"/>
          <w:b w:val="0"/>
          <w:bCs w:val="0"/>
          <w:color w:val="auto"/>
          <w:sz w:val="28"/>
          <w:szCs w:val="28"/>
          <w:highlight w:val="none"/>
          <w:u w:val="none"/>
          <w:lang w:eastAsia="zh-CN"/>
        </w:rPr>
        <w:t>）本协议经双方法定代表人（或授权代表人）签章并加盖公章生效，自生效之日起有效期为壹年，有效期届满，如甲、乙双方均未提出异议，本协议即自动展期，展期为壹年，展期次数为贰次。</w:t>
      </w:r>
    </w:p>
    <w:p w14:paraId="61374A0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四</w:t>
      </w:r>
      <w:r>
        <w:rPr>
          <w:rFonts w:hint="eastAsia" w:ascii="仿宋" w:hAnsi="仿宋" w:eastAsia="仿宋" w:cs="仿宋"/>
          <w:b w:val="0"/>
          <w:bCs w:val="0"/>
          <w:color w:val="auto"/>
          <w:sz w:val="28"/>
          <w:szCs w:val="28"/>
          <w:highlight w:val="none"/>
          <w:u w:val="none"/>
          <w:lang w:eastAsia="zh-CN"/>
        </w:rPr>
        <w:t>）甲、乙双方合同协议或业务合作中止或终止，在双方合作期内所有开展的业务均受本协议保护。</w:t>
      </w:r>
    </w:p>
    <w:p w14:paraId="62C97192">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0"/>
        <w:textAlignment w:val="auto"/>
        <w:outlineLvl w:val="9"/>
        <w:rPr>
          <w:rFonts w:hint="eastAsia" w:ascii="仿宋" w:hAnsi="仿宋" w:eastAsia="仿宋" w:cs="仿宋"/>
          <w:b w:val="0"/>
          <w:bCs w:val="0"/>
          <w:color w:val="auto"/>
          <w:sz w:val="28"/>
          <w:szCs w:val="28"/>
          <w:highlight w:val="none"/>
          <w:u w:val="none"/>
          <w:lang w:eastAsia="zh-CN"/>
        </w:rPr>
      </w:pP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五</w:t>
      </w:r>
      <w:r>
        <w:rPr>
          <w:rFonts w:hint="eastAsia" w:ascii="仿宋" w:hAnsi="仿宋" w:eastAsia="仿宋" w:cs="仿宋"/>
          <w:b w:val="0"/>
          <w:bCs w:val="0"/>
          <w:color w:val="auto"/>
          <w:sz w:val="28"/>
          <w:szCs w:val="28"/>
          <w:highlight w:val="none"/>
          <w:u w:val="none"/>
          <w:lang w:eastAsia="zh-CN"/>
        </w:rPr>
        <w:t>）本协议未尽事宜或对条款解读存在异议的，协议方可以签订补充协议加以补充说明。补充协议须经甲、乙双方签字和盖章后生效。补充协议与本协议内容有冲突的，以补充协议为准。补充协议与本协议具有同等效力。</w:t>
      </w:r>
    </w:p>
    <w:p w14:paraId="06591A57">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黑体" w:hAnsi="黑体" w:eastAsia="黑体" w:cs="黑体"/>
          <w:color w:val="auto"/>
          <w:sz w:val="28"/>
          <w:szCs w:val="28"/>
          <w:highlight w:val="none"/>
          <w:u w:val="none"/>
        </w:rPr>
      </w:pP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六</w:t>
      </w:r>
      <w:r>
        <w:rPr>
          <w:rFonts w:hint="eastAsia" w:ascii="仿宋" w:hAnsi="仿宋" w:eastAsia="仿宋" w:cs="仿宋"/>
          <w:b w:val="0"/>
          <w:bCs w:val="0"/>
          <w:color w:val="auto"/>
          <w:sz w:val="28"/>
          <w:szCs w:val="28"/>
          <w:highlight w:val="none"/>
          <w:u w:val="none"/>
          <w:lang w:eastAsia="zh-CN"/>
        </w:rPr>
        <w:t>）本协议一式</w:t>
      </w:r>
      <w:r>
        <w:rPr>
          <w:rFonts w:hint="eastAsia" w:ascii="仿宋" w:hAnsi="仿宋" w:eastAsia="仿宋" w:cs="仿宋"/>
          <w:b/>
          <w:bCs/>
          <w:color w:val="auto"/>
          <w:sz w:val="28"/>
          <w:szCs w:val="28"/>
          <w:highlight w:val="none"/>
          <w:u w:val="none"/>
          <w:lang w:eastAsia="zh-CN"/>
        </w:rPr>
        <w:t>捌</w:t>
      </w:r>
      <w:r>
        <w:rPr>
          <w:rFonts w:hint="eastAsia" w:ascii="仿宋" w:hAnsi="仿宋" w:eastAsia="仿宋" w:cs="仿宋"/>
          <w:b w:val="0"/>
          <w:bCs w:val="0"/>
          <w:color w:val="auto"/>
          <w:sz w:val="28"/>
          <w:szCs w:val="28"/>
          <w:highlight w:val="none"/>
          <w:u w:val="none"/>
          <w:lang w:eastAsia="zh-CN"/>
        </w:rPr>
        <w:t>份，甲、乙双方各执</w:t>
      </w:r>
      <w:r>
        <w:rPr>
          <w:rFonts w:hint="eastAsia" w:ascii="仿宋" w:hAnsi="仿宋" w:eastAsia="仿宋" w:cs="仿宋"/>
          <w:b/>
          <w:bCs/>
          <w:color w:val="auto"/>
          <w:sz w:val="28"/>
          <w:szCs w:val="28"/>
          <w:highlight w:val="none"/>
          <w:u w:val="none"/>
          <w:lang w:eastAsia="zh-CN"/>
        </w:rPr>
        <w:t>肆</w:t>
      </w:r>
      <w:r>
        <w:rPr>
          <w:rFonts w:hint="eastAsia" w:ascii="仿宋" w:hAnsi="仿宋" w:eastAsia="仿宋" w:cs="仿宋"/>
          <w:b w:val="0"/>
          <w:bCs w:val="0"/>
          <w:color w:val="auto"/>
          <w:sz w:val="28"/>
          <w:szCs w:val="28"/>
          <w:highlight w:val="none"/>
          <w:u w:val="none"/>
          <w:lang w:eastAsia="zh-CN"/>
        </w:rPr>
        <w:t>份，具有同等的法律效力。</w:t>
      </w:r>
    </w:p>
    <w:p w14:paraId="014FFDFE">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ascii="黑体" w:hAnsi="黑体" w:eastAsia="黑体" w:cs="黑体"/>
          <w:color w:val="auto"/>
          <w:sz w:val="28"/>
          <w:szCs w:val="28"/>
          <w:highlight w:val="none"/>
          <w:u w:val="none"/>
        </w:rPr>
      </w:pPr>
    </w:p>
    <w:p w14:paraId="3584D913">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ascii="黑体" w:hAnsi="黑体" w:eastAsia="黑体" w:cs="黑体"/>
          <w:color w:val="auto"/>
          <w:sz w:val="28"/>
          <w:szCs w:val="28"/>
          <w:highlight w:val="none"/>
          <w:u w:val="none"/>
        </w:rPr>
      </w:pPr>
    </w:p>
    <w:p w14:paraId="4CC35DB2">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ascii="黑体" w:hAnsi="黑体" w:eastAsia="黑体" w:cs="黑体"/>
          <w:color w:val="auto"/>
          <w:sz w:val="28"/>
          <w:szCs w:val="28"/>
          <w:highlight w:val="none"/>
          <w:u w:val="none"/>
        </w:rPr>
      </w:pPr>
      <w:r>
        <w:rPr>
          <w:rFonts w:hint="eastAsia" w:ascii="黑体" w:hAnsi="黑体" w:eastAsia="黑体" w:cs="黑体"/>
          <w:color w:val="auto"/>
          <w:sz w:val="28"/>
          <w:szCs w:val="28"/>
          <w:highlight w:val="none"/>
          <w:u w:val="none"/>
        </w:rPr>
        <w:t xml:space="preserve">甲方（公章）                 </w:t>
      </w:r>
    </w:p>
    <w:p w14:paraId="1EDB0964">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s="黑体"/>
          <w:color w:val="auto"/>
          <w:sz w:val="28"/>
          <w:szCs w:val="28"/>
          <w:highlight w:val="none"/>
          <w:u w:val="none"/>
        </w:rPr>
      </w:pPr>
      <w:r>
        <w:rPr>
          <w:rFonts w:hint="eastAsia" w:ascii="黑体" w:hAnsi="黑体" w:eastAsia="黑体" w:cs="黑体"/>
          <w:color w:val="auto"/>
          <w:sz w:val="28"/>
          <w:szCs w:val="28"/>
          <w:highlight w:val="none"/>
          <w:u w:val="none"/>
        </w:rPr>
        <w:t xml:space="preserve">   法定代表人：                                    </w:t>
      </w:r>
    </w:p>
    <w:p w14:paraId="7CA0B400">
      <w:pPr>
        <w:pStyle w:val="3"/>
        <w:keepNext w:val="0"/>
        <w:keepLines w:val="0"/>
        <w:pageBreakBefore w:val="0"/>
        <w:kinsoku/>
        <w:wordWrap/>
        <w:overflowPunct/>
        <w:topLinePunct w:val="0"/>
        <w:autoSpaceDE/>
        <w:autoSpaceDN/>
        <w:bidi w:val="0"/>
        <w:adjustRightInd/>
        <w:snapToGrid/>
        <w:spacing w:line="520" w:lineRule="exact"/>
        <w:ind w:firstLine="5600" w:firstLineChars="2000"/>
        <w:jc w:val="right"/>
        <w:textAlignment w:val="auto"/>
        <w:rPr>
          <w:rFonts w:hint="eastAsia" w:ascii="黑体" w:hAnsi="黑体" w:eastAsia="黑体" w:cs="黑体"/>
          <w:color w:val="auto"/>
          <w:sz w:val="28"/>
          <w:szCs w:val="28"/>
          <w:highlight w:val="none"/>
          <w:u w:val="none"/>
        </w:rPr>
      </w:pPr>
      <w:r>
        <w:rPr>
          <w:rFonts w:ascii="黑体" w:hAnsi="黑体" w:eastAsia="黑体" w:cs="黑体"/>
          <w:color w:val="auto"/>
          <w:sz w:val="28"/>
          <w:szCs w:val="28"/>
          <w:highlight w:val="none"/>
          <w:u w:val="none"/>
        </w:rPr>
        <w:t>年   月   日</w:t>
      </w:r>
    </w:p>
    <w:p w14:paraId="55CE0261">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hint="eastAsia" w:ascii="黑体" w:hAnsi="黑体" w:eastAsia="黑体" w:cs="黑体"/>
          <w:color w:val="auto"/>
          <w:sz w:val="28"/>
          <w:szCs w:val="28"/>
          <w:highlight w:val="none"/>
          <w:u w:val="none"/>
        </w:rPr>
      </w:pPr>
      <w:r>
        <w:rPr>
          <w:rFonts w:hint="eastAsia" w:ascii="黑体" w:hAnsi="黑体" w:eastAsia="黑体" w:cs="黑体"/>
          <w:color w:val="auto"/>
          <w:sz w:val="28"/>
          <w:szCs w:val="28"/>
          <w:highlight w:val="none"/>
          <w:u w:val="none"/>
        </w:rPr>
        <w:t>乙方（公章）</w:t>
      </w:r>
    </w:p>
    <w:p w14:paraId="13B0A33C">
      <w:pPr>
        <w:keepNext w:val="0"/>
        <w:keepLines w:val="0"/>
        <w:pageBreakBefore w:val="0"/>
        <w:kinsoku/>
        <w:wordWrap/>
        <w:overflowPunct/>
        <w:topLinePunct w:val="0"/>
        <w:autoSpaceDE/>
        <w:autoSpaceDN/>
        <w:bidi w:val="0"/>
        <w:adjustRightInd/>
        <w:snapToGrid/>
        <w:spacing w:line="520" w:lineRule="exact"/>
        <w:ind w:left="105" w:leftChars="50" w:firstLine="280" w:firstLineChars="100"/>
        <w:textAlignment w:val="auto"/>
        <w:rPr>
          <w:rFonts w:ascii="Times New Roman" w:hAnsi="Times New Roman" w:eastAsia="黑体"/>
          <w:color w:val="auto"/>
          <w:sz w:val="28"/>
          <w:szCs w:val="28"/>
          <w:highlight w:val="none"/>
          <w:u w:val="none"/>
        </w:rPr>
      </w:pPr>
      <w:r>
        <w:rPr>
          <w:rFonts w:hint="eastAsia" w:ascii="黑体" w:hAnsi="黑体" w:eastAsia="黑体" w:cs="黑体"/>
          <w:color w:val="auto"/>
          <w:sz w:val="28"/>
          <w:szCs w:val="28"/>
          <w:highlight w:val="none"/>
          <w:u w:val="none"/>
        </w:rPr>
        <w:t xml:space="preserve">法定代表人：    </w:t>
      </w:r>
    </w:p>
    <w:p w14:paraId="0C790C75">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jc w:val="right"/>
        <w:textAlignment w:val="auto"/>
        <w:outlineLvl w:val="9"/>
        <w:rPr>
          <w:rFonts w:hint="default"/>
          <w:color w:val="auto"/>
          <w:u w:val="none"/>
          <w:lang w:val="en-US" w:eastAsia="zh-CN"/>
        </w:rPr>
      </w:pPr>
      <w:r>
        <w:rPr>
          <w:rFonts w:hint="eastAsia" w:ascii="黑体" w:hAnsi="黑体" w:eastAsia="黑体" w:cs="黑体"/>
          <w:color w:val="auto"/>
          <w:sz w:val="28"/>
          <w:szCs w:val="28"/>
          <w:highlight w:val="none"/>
          <w:u w:val="none"/>
          <w:lang w:eastAsia="zh-CN"/>
        </w:rPr>
        <w:t xml:space="preserve"> </w:t>
      </w:r>
      <w:r>
        <w:rPr>
          <w:rFonts w:ascii="黑体" w:hAnsi="黑体" w:eastAsia="黑体" w:cs="黑体"/>
          <w:color w:val="auto"/>
          <w:sz w:val="28"/>
          <w:szCs w:val="28"/>
          <w:highlight w:val="none"/>
          <w:u w:val="none"/>
        </w:rPr>
        <w:t>年   月   日</w:t>
      </w:r>
    </w:p>
    <w:p w14:paraId="043BFFF5">
      <w:pPr>
        <w:pStyle w:val="3"/>
        <w:rPr>
          <w:rFonts w:hint="eastAsia"/>
          <w:color w:val="auto"/>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UI"/>
    <w:panose1 w:val="02000503000000020004"/>
    <w:charset w:val="00"/>
    <w:family w:val="roman"/>
    <w:pitch w:val="default"/>
    <w:sig w:usb0="00000000" w:usb1="00000000" w:usb2="00000010" w:usb3="00000000" w:csb0="00000000" w:csb1="00000000"/>
  </w:font>
  <w:font w:name="Segoe UI">
    <w:panose1 w:val="020B0502040204020203"/>
    <w:charset w:val="00"/>
    <w:family w:val="auto"/>
    <w:pitch w:val="default"/>
    <w:sig w:usb0="E4002EFF" w:usb1="C000E47F"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0000600000000000000"/>
    <w:charset w:val="86"/>
    <w:family w:val="script"/>
    <w:pitch w:val="default"/>
    <w:sig w:usb0="800002BF" w:usb1="184F6CF8" w:usb2="00000012" w:usb3="00000000" w:csb0="00160001" w:csb1="1203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7D8B8"/>
    <w:multiLevelType w:val="singleLevel"/>
    <w:tmpl w:val="EA37D8B8"/>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37BFE"/>
    <w:rsid w:val="03937BFE"/>
    <w:rsid w:val="1D422CD5"/>
    <w:rsid w:val="23BC2138"/>
    <w:rsid w:val="2FF77D4F"/>
    <w:rsid w:val="399D3B07"/>
    <w:rsid w:val="3ABC6E34"/>
    <w:rsid w:val="4C837A80"/>
    <w:rsid w:val="5B822A93"/>
    <w:rsid w:val="695D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页眉与页脚"/>
    <w:next w:val="4"/>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4">
    <w:name w:val="annotation text"/>
    <w:basedOn w:val="1"/>
    <w:next w:val="5"/>
    <w:qFormat/>
    <w:uiPriority w:val="0"/>
    <w:pPr>
      <w:jc w:val="left"/>
    </w:pPr>
  </w:style>
  <w:style w:type="paragraph" w:styleId="5">
    <w:name w:val="footer"/>
    <w:basedOn w:val="1"/>
    <w:next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 w:type="paragraph" w:styleId="8">
    <w:name w:val="Body Text Indent 3"/>
    <w:basedOn w:val="1"/>
    <w:qFormat/>
    <w:uiPriority w:val="0"/>
    <w:pPr>
      <w:spacing w:after="120"/>
      <w:ind w:left="420" w:leftChars="200"/>
    </w:pPr>
    <w:rPr>
      <w:sz w:val="16"/>
      <w:szCs w:val="16"/>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5167</Words>
  <Characters>5250</Characters>
  <Lines>0</Lines>
  <Paragraphs>0</Paragraphs>
  <TotalTime>17</TotalTime>
  <ScaleCrop>false</ScaleCrop>
  <LinksUpToDate>false</LinksUpToDate>
  <CharactersWithSpaces>6157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2025-01-08T03:33:00Z</dcterms:created>
  <dc:creator>A</dc:creator>
  <cp:lastModifiedBy>A</cp:lastModifiedBy>
  <dcterms:modified xsi:type="dcterms:W3CDTF">2025-01-10T09:23:41Z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24B3DA330F5F47DAB65B67DA4001D339_11</vt:lpwstr>
  </property>
  <property fmtid="{D5CDD505-2E9C-101B-9397-08002B2CF9AE}" pid="4" name="KSOTemplateDocerSaveRecord">
    <vt:lpwstr>eyJoZGlkIjoiMDg3ZjliYzYyYTZhMmYzOTNhYmZjODJjNTA1NjZkODAiLCJ1c2VySWQiOiIzOTAxMDA1NDAifQ==</vt:lpwstr>
  </property>
</Properties>
</file>